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8AA13" w14:textId="77777777" w:rsidR="00E03658" w:rsidRDefault="00E03658" w:rsidP="007856AB">
      <w:pPr>
        <w:autoSpaceDN w:val="0"/>
      </w:pPr>
    </w:p>
    <w:p w14:paraId="6F5B6433" w14:textId="08715BA9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CB5965">
        <w:rPr>
          <w:i/>
          <w:sz w:val="24"/>
          <w:szCs w:val="24"/>
        </w:rPr>
        <w:t>.pielikums</w:t>
      </w:r>
    </w:p>
    <w:p w14:paraId="201FDF08" w14:textId="77777777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līgumam par primār</w:t>
      </w:r>
      <w:r>
        <w:rPr>
          <w:i/>
          <w:sz w:val="24"/>
          <w:szCs w:val="24"/>
        </w:rPr>
        <w:t>ās</w:t>
      </w:r>
      <w:r w:rsidRPr="00CB5965">
        <w:rPr>
          <w:i/>
          <w:sz w:val="24"/>
          <w:szCs w:val="24"/>
        </w:rPr>
        <w:t xml:space="preserve"> veselības</w:t>
      </w:r>
    </w:p>
    <w:p w14:paraId="01BBFBF8" w14:textId="77777777" w:rsidR="00877010" w:rsidRPr="00CB5965" w:rsidRDefault="00877010" w:rsidP="00877010">
      <w:pPr>
        <w:ind w:right="282"/>
        <w:jc w:val="right"/>
        <w:rPr>
          <w:i/>
          <w:sz w:val="24"/>
          <w:szCs w:val="24"/>
        </w:rPr>
      </w:pPr>
      <w:r w:rsidRPr="00CB5965">
        <w:rPr>
          <w:i/>
          <w:sz w:val="24"/>
          <w:szCs w:val="24"/>
        </w:rPr>
        <w:t>aprūpes pakalpojumu sniegšanu un apmaksu</w:t>
      </w:r>
    </w:p>
    <w:p w14:paraId="23BE0634" w14:textId="4C00B9B5" w:rsidR="00877010" w:rsidRDefault="00877010" w:rsidP="00877010">
      <w:pPr>
        <w:ind w:right="282"/>
      </w:pPr>
    </w:p>
    <w:p w14:paraId="52E123CD" w14:textId="22276184" w:rsidR="00877010" w:rsidRDefault="00877010" w:rsidP="00877010">
      <w:pPr>
        <w:ind w:right="282"/>
      </w:pPr>
    </w:p>
    <w:p w14:paraId="5BD4C9F6" w14:textId="77777777" w:rsidR="00877010" w:rsidRDefault="00877010" w:rsidP="00877010">
      <w:pPr>
        <w:ind w:right="282"/>
      </w:pPr>
    </w:p>
    <w:p w14:paraId="13B51F30" w14:textId="2BB4202C" w:rsidR="00D76009" w:rsidRDefault="00877010" w:rsidP="006E4E80">
      <w:pPr>
        <w:ind w:left="284" w:right="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Primārās v</w:t>
      </w:r>
      <w:r w:rsidR="00D76009" w:rsidRPr="00956FA1">
        <w:rPr>
          <w:b/>
          <w:bCs/>
          <w:sz w:val="24"/>
          <w:szCs w:val="24"/>
        </w:rPr>
        <w:t xml:space="preserve">eselības aprūpes pakalpojumu apmaksas noteikumi </w:t>
      </w:r>
    </w:p>
    <w:p w14:paraId="38430D07" w14:textId="77777777" w:rsidR="00877010" w:rsidRPr="00956FA1" w:rsidRDefault="00877010" w:rsidP="006E4E80">
      <w:pPr>
        <w:ind w:left="284" w:right="27"/>
        <w:jc w:val="center"/>
        <w:rPr>
          <w:b/>
          <w:bCs/>
          <w:sz w:val="24"/>
          <w:szCs w:val="24"/>
        </w:rPr>
      </w:pPr>
    </w:p>
    <w:p w14:paraId="267A3DF2" w14:textId="77777777" w:rsidR="00D76009" w:rsidRPr="00956FA1" w:rsidRDefault="00D76009" w:rsidP="006E4E80">
      <w:pPr>
        <w:ind w:left="285" w:right="27" w:hanging="285"/>
        <w:jc w:val="both"/>
        <w:rPr>
          <w:b/>
          <w:sz w:val="24"/>
          <w:szCs w:val="24"/>
        </w:rPr>
      </w:pPr>
    </w:p>
    <w:p w14:paraId="2D40EEC9" w14:textId="2203A685" w:rsidR="00C2497F" w:rsidRPr="004F4EF9" w:rsidRDefault="00C2497F" w:rsidP="00C2497F">
      <w:pPr>
        <w:numPr>
          <w:ilvl w:val="0"/>
          <w:numId w:val="4"/>
        </w:numPr>
        <w:ind w:left="426" w:right="27" w:hanging="426"/>
        <w:jc w:val="both"/>
        <w:rPr>
          <w:bCs/>
          <w:sz w:val="24"/>
          <w:szCs w:val="24"/>
        </w:rPr>
      </w:pPr>
      <w:r w:rsidRPr="004F4EF9">
        <w:rPr>
          <w:bCs/>
          <w:sz w:val="24"/>
          <w:szCs w:val="24"/>
        </w:rPr>
        <w:t>IZPILDĪTĀJ</w:t>
      </w:r>
      <w:r w:rsidR="00877010">
        <w:rPr>
          <w:bCs/>
          <w:sz w:val="24"/>
          <w:szCs w:val="24"/>
        </w:rPr>
        <w:t xml:space="preserve">S par sniegtajiem primārās veselības aprūpes pakalpojumiem saņem </w:t>
      </w:r>
      <w:r w:rsidRPr="004F4EF9">
        <w:rPr>
          <w:bCs/>
          <w:sz w:val="24"/>
          <w:szCs w:val="24"/>
        </w:rPr>
        <w:t>šād</w:t>
      </w:r>
      <w:r w:rsidR="00877010">
        <w:rPr>
          <w:bCs/>
          <w:sz w:val="24"/>
          <w:szCs w:val="24"/>
        </w:rPr>
        <w:t>us</w:t>
      </w:r>
      <w:r w:rsidRPr="004F4EF9">
        <w:rPr>
          <w:bCs/>
          <w:sz w:val="24"/>
          <w:szCs w:val="24"/>
        </w:rPr>
        <w:t xml:space="preserve"> fiksēt</w:t>
      </w:r>
      <w:r w:rsidR="00877010">
        <w:rPr>
          <w:bCs/>
          <w:sz w:val="24"/>
          <w:szCs w:val="24"/>
        </w:rPr>
        <w:t xml:space="preserve">us </w:t>
      </w:r>
      <w:r w:rsidR="000A72CD">
        <w:rPr>
          <w:bCs/>
          <w:sz w:val="24"/>
          <w:szCs w:val="24"/>
        </w:rPr>
        <w:t xml:space="preserve">ikmēneša </w:t>
      </w:r>
      <w:r w:rsidR="00877010">
        <w:rPr>
          <w:bCs/>
          <w:sz w:val="24"/>
          <w:szCs w:val="24"/>
        </w:rPr>
        <w:t>maksājumus</w:t>
      </w:r>
      <w:r w:rsidRPr="004F4EF9">
        <w:rPr>
          <w:bCs/>
          <w:sz w:val="24"/>
          <w:szCs w:val="24"/>
        </w:rPr>
        <w:t>:</w:t>
      </w:r>
    </w:p>
    <w:p w14:paraId="2F156139" w14:textId="11544726" w:rsidR="00C2497F" w:rsidRPr="004F4EF9" w:rsidRDefault="00C2497F" w:rsidP="00C2497F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bCs/>
          <w:sz w:val="24"/>
          <w:szCs w:val="24"/>
        </w:rPr>
        <w:t>maksājums ārsta praksei;</w:t>
      </w:r>
    </w:p>
    <w:p w14:paraId="623F9721" w14:textId="693A405A" w:rsidR="0076601B" w:rsidRPr="004F4EF9" w:rsidRDefault="0076601B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>piemaksa par hronisko pacientu aprūpi;</w:t>
      </w:r>
    </w:p>
    <w:p w14:paraId="3C95BB82" w14:textId="7DDA52DA" w:rsidR="00C2497F" w:rsidRPr="004F4EF9" w:rsidRDefault="00C2497F" w:rsidP="00C2497F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maksājums par ģimenes ārsta </w:t>
      </w:r>
      <w:r w:rsidR="00877010">
        <w:rPr>
          <w:sz w:val="24"/>
          <w:szCs w:val="24"/>
        </w:rPr>
        <w:t>papildu</w:t>
      </w:r>
      <w:r w:rsidRPr="004F4EF9">
        <w:rPr>
          <w:sz w:val="24"/>
          <w:szCs w:val="24"/>
        </w:rPr>
        <w:t xml:space="preserve"> prakses pieņemšanas vietu</w:t>
      </w:r>
      <w:r w:rsidR="00A933C7">
        <w:rPr>
          <w:sz w:val="24"/>
          <w:szCs w:val="24"/>
        </w:rPr>
        <w:t xml:space="preserve"> atbilstoši šo vietu skaitam, ja IZPILDĪTĀJS nodrošina viena primārās veselības aprūpes pakalpojuma sniedzēja pieņemšanu vairāk nekā vienā pieņemšanas</w:t>
      </w:r>
      <w:r w:rsidR="00A618FD">
        <w:rPr>
          <w:sz w:val="24"/>
          <w:szCs w:val="24"/>
        </w:rPr>
        <w:t xml:space="preserve"> v</w:t>
      </w:r>
      <w:bookmarkStart w:id="0" w:name="_GoBack"/>
      <w:bookmarkEnd w:id="0"/>
      <w:r w:rsidR="00A618FD">
        <w:rPr>
          <w:sz w:val="24"/>
          <w:szCs w:val="24"/>
        </w:rPr>
        <w:t>ietā</w:t>
      </w:r>
      <w:r w:rsidR="0076601B" w:rsidRPr="004F4EF9">
        <w:rPr>
          <w:sz w:val="24"/>
          <w:szCs w:val="24"/>
        </w:rPr>
        <w:t>;</w:t>
      </w:r>
    </w:p>
    <w:p w14:paraId="574740FE" w14:textId="335C7E95" w:rsidR="0076601B" w:rsidRPr="00A933C7" w:rsidRDefault="0076601B" w:rsidP="00A618FD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piemaksa par prakses un personāla darbības nodrošināšanu lauku teritorijā </w:t>
      </w:r>
      <w:r w:rsidR="00A618FD" w:rsidRPr="00A618FD">
        <w:rPr>
          <w:sz w:val="24"/>
          <w:szCs w:val="24"/>
        </w:rPr>
        <w:t xml:space="preserve">atkarībā no </w:t>
      </w:r>
      <w:proofErr w:type="spellStart"/>
      <w:r w:rsidR="00A618FD" w:rsidRPr="00A618FD">
        <w:rPr>
          <w:sz w:val="24"/>
          <w:szCs w:val="24"/>
        </w:rPr>
        <w:t>pamatteritorijas</w:t>
      </w:r>
      <w:proofErr w:type="spellEnd"/>
      <w:r w:rsidR="00A618FD" w:rsidRPr="00A618FD">
        <w:rPr>
          <w:sz w:val="24"/>
          <w:szCs w:val="24"/>
        </w:rPr>
        <w:t xml:space="preserve"> iedzīvotāju blīvuma un reģistrēto pacientu skaita</w:t>
      </w:r>
      <w:r w:rsidRPr="00A933C7">
        <w:rPr>
          <w:sz w:val="24"/>
          <w:szCs w:val="24"/>
        </w:rPr>
        <w:t xml:space="preserve">, ja </w:t>
      </w:r>
      <w:r w:rsidR="00A933C7" w:rsidRPr="00A933C7">
        <w:rPr>
          <w:sz w:val="24"/>
          <w:szCs w:val="24"/>
        </w:rPr>
        <w:t xml:space="preserve">šāda </w:t>
      </w:r>
      <w:r w:rsidRPr="00A933C7">
        <w:rPr>
          <w:sz w:val="24"/>
          <w:szCs w:val="24"/>
        </w:rPr>
        <w:t>piemaks</w:t>
      </w:r>
      <w:r w:rsidR="00877010" w:rsidRPr="00A933C7">
        <w:rPr>
          <w:sz w:val="24"/>
          <w:szCs w:val="24"/>
        </w:rPr>
        <w:t xml:space="preserve">a </w:t>
      </w:r>
      <w:r w:rsidR="00A933C7" w:rsidRPr="00A933C7">
        <w:rPr>
          <w:sz w:val="24"/>
          <w:szCs w:val="24"/>
        </w:rPr>
        <w:t>atbilstoši normatīvajiem aktiem IZPILDĪTĀJAM ir maksājama</w:t>
      </w:r>
      <w:r w:rsidRPr="00A933C7">
        <w:rPr>
          <w:sz w:val="24"/>
          <w:szCs w:val="24"/>
        </w:rPr>
        <w:t>;</w:t>
      </w:r>
    </w:p>
    <w:p w14:paraId="7D33B00D" w14:textId="77777777" w:rsidR="000A72CD" w:rsidRPr="000A72CD" w:rsidRDefault="000A72CD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piemaksa </w:t>
      </w:r>
      <w:r w:rsidR="0076601B" w:rsidRPr="004F4EF9">
        <w:rPr>
          <w:sz w:val="24"/>
          <w:szCs w:val="24"/>
        </w:rPr>
        <w:t>par reģistrēto pacientu vecuma struktūras atbilstību ģimenes ārsta prakses tipam</w:t>
      </w:r>
      <w:r w:rsidR="00A933C7" w:rsidRPr="00A933C7">
        <w:rPr>
          <w:sz w:val="24"/>
          <w:szCs w:val="24"/>
        </w:rPr>
        <w:t>, ja šād</w:t>
      </w:r>
      <w:r w:rsidR="00A933C7">
        <w:rPr>
          <w:sz w:val="24"/>
          <w:szCs w:val="24"/>
        </w:rPr>
        <w:t>s</w:t>
      </w:r>
      <w:r w:rsidR="00A933C7" w:rsidRPr="00A933C7">
        <w:rPr>
          <w:sz w:val="24"/>
          <w:szCs w:val="24"/>
        </w:rPr>
        <w:t xml:space="preserve"> </w:t>
      </w:r>
      <w:r w:rsidR="00A933C7">
        <w:rPr>
          <w:sz w:val="24"/>
          <w:szCs w:val="24"/>
        </w:rPr>
        <w:t>maksājums</w:t>
      </w:r>
      <w:r w:rsidR="00A933C7" w:rsidRPr="00A933C7">
        <w:rPr>
          <w:sz w:val="24"/>
          <w:szCs w:val="24"/>
        </w:rPr>
        <w:t xml:space="preserve"> atbilstoši normatīvajiem aktiem IZPILDĪTĀJAM ir maksājam</w:t>
      </w:r>
      <w:r w:rsidR="00A933C7">
        <w:rPr>
          <w:sz w:val="24"/>
          <w:szCs w:val="24"/>
        </w:rPr>
        <w:t>s</w:t>
      </w:r>
      <w:r>
        <w:rPr>
          <w:sz w:val="24"/>
          <w:szCs w:val="24"/>
        </w:rPr>
        <w:t>;</w:t>
      </w:r>
    </w:p>
    <w:p w14:paraId="63953726" w14:textId="4FCE3527" w:rsidR="0076601B" w:rsidRPr="004F4EF9" w:rsidRDefault="000A72CD" w:rsidP="0076601B">
      <w:pPr>
        <w:numPr>
          <w:ilvl w:val="1"/>
          <w:numId w:val="4"/>
        </w:numPr>
        <w:ind w:right="27"/>
        <w:jc w:val="both"/>
        <w:rPr>
          <w:bCs/>
          <w:sz w:val="24"/>
          <w:szCs w:val="24"/>
        </w:rPr>
      </w:pPr>
      <w:r>
        <w:rPr>
          <w:sz w:val="24"/>
          <w:szCs w:val="24"/>
        </w:rPr>
        <w:t>maksājums par dežūrārsta kabinetu, ja IZPILDĪTĀJS</w:t>
      </w:r>
      <w:r w:rsidRPr="000A72CD">
        <w:rPr>
          <w:sz w:val="24"/>
          <w:szCs w:val="24"/>
        </w:rPr>
        <w:t xml:space="preserve"> </w:t>
      </w:r>
      <w:r w:rsidRPr="00A933C7">
        <w:rPr>
          <w:sz w:val="24"/>
          <w:szCs w:val="24"/>
        </w:rPr>
        <w:t>atbilstoši normatīvajiem aktiem</w:t>
      </w:r>
      <w:r>
        <w:rPr>
          <w:sz w:val="24"/>
          <w:szCs w:val="24"/>
        </w:rPr>
        <w:t xml:space="preserve"> nodrošina dežūrārsta pakalpojumus</w:t>
      </w:r>
      <w:r w:rsidR="0010479E" w:rsidRPr="004F4EF9">
        <w:rPr>
          <w:sz w:val="24"/>
          <w:szCs w:val="24"/>
        </w:rPr>
        <w:t>.</w:t>
      </w:r>
    </w:p>
    <w:p w14:paraId="6B35F2F3" w14:textId="77777777" w:rsidR="00877010" w:rsidRDefault="00877010" w:rsidP="00877010">
      <w:pPr>
        <w:ind w:left="66" w:right="27"/>
        <w:jc w:val="both"/>
        <w:rPr>
          <w:bCs/>
          <w:sz w:val="24"/>
          <w:szCs w:val="24"/>
        </w:rPr>
      </w:pPr>
    </w:p>
    <w:p w14:paraId="1688FF9F" w14:textId="5B51C66C" w:rsidR="0076601B" w:rsidRPr="004F4EF9" w:rsidRDefault="0076601B" w:rsidP="0076601B">
      <w:pPr>
        <w:numPr>
          <w:ilvl w:val="0"/>
          <w:numId w:val="4"/>
        </w:numPr>
        <w:ind w:left="426" w:right="27"/>
        <w:jc w:val="both"/>
        <w:rPr>
          <w:bCs/>
          <w:sz w:val="24"/>
          <w:szCs w:val="24"/>
        </w:rPr>
      </w:pPr>
      <w:r w:rsidRPr="004F4EF9">
        <w:rPr>
          <w:sz w:val="24"/>
          <w:szCs w:val="24"/>
        </w:rPr>
        <w:t xml:space="preserve">IZPILDĪTĀJS papildus </w:t>
      </w:r>
      <w:r w:rsidR="00877010">
        <w:rPr>
          <w:sz w:val="24"/>
          <w:szCs w:val="24"/>
        </w:rPr>
        <w:t>šī Līguma pielikuma 1</w:t>
      </w:r>
      <w:r w:rsidRPr="004F4EF9">
        <w:rPr>
          <w:sz w:val="24"/>
          <w:szCs w:val="24"/>
        </w:rPr>
        <w:t xml:space="preserve">.punktā noteiktajiem maksājumiem saņem: </w:t>
      </w:r>
    </w:p>
    <w:p w14:paraId="20C33986" w14:textId="43CFE7AD" w:rsidR="0010479E" w:rsidRPr="004F4EF9" w:rsidRDefault="00C44927" w:rsidP="0076601B">
      <w:pPr>
        <w:numPr>
          <w:ilvl w:val="1"/>
          <w:numId w:val="4"/>
        </w:numPr>
        <w:ind w:right="27"/>
        <w:jc w:val="both"/>
        <w:rPr>
          <w:sz w:val="24"/>
          <w:szCs w:val="24"/>
        </w:rPr>
      </w:pPr>
      <w:proofErr w:type="spellStart"/>
      <w:r w:rsidRPr="004F4EF9">
        <w:rPr>
          <w:sz w:val="24"/>
          <w:szCs w:val="24"/>
        </w:rPr>
        <w:t>k</w:t>
      </w:r>
      <w:r w:rsidR="0076601B" w:rsidRPr="004F4EF9">
        <w:rPr>
          <w:sz w:val="24"/>
          <w:szCs w:val="24"/>
        </w:rPr>
        <w:t>apitācijas</w:t>
      </w:r>
      <w:proofErr w:type="spellEnd"/>
      <w:r w:rsidR="0076601B" w:rsidRPr="004F4EF9">
        <w:rPr>
          <w:sz w:val="24"/>
          <w:szCs w:val="24"/>
        </w:rPr>
        <w:t xml:space="preserve"> naudu atbilstoši reģistrēto pacientu </w:t>
      </w:r>
      <w:r w:rsidR="00ED50E9">
        <w:rPr>
          <w:sz w:val="24"/>
          <w:szCs w:val="24"/>
        </w:rPr>
        <w:t xml:space="preserve">skaitam un </w:t>
      </w:r>
      <w:r w:rsidR="0076601B" w:rsidRPr="004F4EF9">
        <w:rPr>
          <w:sz w:val="24"/>
          <w:szCs w:val="24"/>
        </w:rPr>
        <w:t>vecuma struktūrai</w:t>
      </w:r>
      <w:r w:rsidR="0010479E" w:rsidRPr="004F4EF9">
        <w:rPr>
          <w:sz w:val="24"/>
          <w:szCs w:val="24"/>
        </w:rPr>
        <w:t>;</w:t>
      </w:r>
    </w:p>
    <w:p w14:paraId="7BEEFBCF" w14:textId="25CF182E" w:rsidR="00ED50E9" w:rsidRPr="00A933C7" w:rsidRDefault="00ED50E9" w:rsidP="004B564E">
      <w:pPr>
        <w:numPr>
          <w:ilvl w:val="1"/>
          <w:numId w:val="4"/>
        </w:numPr>
        <w:ind w:right="27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māsas</w:t>
      </w:r>
      <w:r>
        <w:rPr>
          <w:sz w:val="24"/>
          <w:szCs w:val="24"/>
        </w:rPr>
        <w:t xml:space="preserve"> </w:t>
      </w:r>
      <w:r w:rsidR="004B564E">
        <w:rPr>
          <w:sz w:val="24"/>
          <w:szCs w:val="24"/>
        </w:rPr>
        <w:t xml:space="preserve">vai ārsta palīga (feldšera) </w:t>
      </w:r>
      <w:r>
        <w:rPr>
          <w:sz w:val="24"/>
          <w:szCs w:val="24"/>
        </w:rPr>
        <w:t>pakalpojumu</w:t>
      </w:r>
      <w:r w:rsidRPr="004F4EF9">
        <w:rPr>
          <w:sz w:val="24"/>
          <w:szCs w:val="24"/>
        </w:rPr>
        <w:t xml:space="preserve"> nodrošināšanas maksājumu</w:t>
      </w:r>
      <w:r w:rsidR="00A933C7">
        <w:rPr>
          <w:sz w:val="24"/>
          <w:szCs w:val="24"/>
        </w:rPr>
        <w:t xml:space="preserve">, ņemot vērā, </w:t>
      </w:r>
      <w:r w:rsidR="00A933C7" w:rsidRPr="00A933C7">
        <w:rPr>
          <w:sz w:val="24"/>
          <w:szCs w:val="24"/>
        </w:rPr>
        <w:t xml:space="preserve">ka </w:t>
      </w:r>
      <w:r w:rsidRPr="00A933C7">
        <w:rPr>
          <w:sz w:val="24"/>
          <w:szCs w:val="24"/>
        </w:rPr>
        <w:t xml:space="preserve"> </w:t>
      </w:r>
      <w:r w:rsidR="00A933C7" w:rsidRPr="00A933C7">
        <w:rPr>
          <w:sz w:val="24"/>
          <w:szCs w:val="24"/>
        </w:rPr>
        <w:t xml:space="preserve">gadījumā, </w:t>
      </w:r>
      <w:r w:rsidRPr="00A933C7">
        <w:rPr>
          <w:sz w:val="24"/>
          <w:szCs w:val="24"/>
        </w:rPr>
        <w:t>ja</w:t>
      </w:r>
      <w:r w:rsidR="00A933C7" w:rsidRPr="00A933C7">
        <w:rPr>
          <w:sz w:val="24"/>
          <w:szCs w:val="24"/>
        </w:rPr>
        <w:t xml:space="preserve"> vienam primārās veselības aprūpes pakalpojumu sniedzējam </w:t>
      </w:r>
      <w:r w:rsidRPr="00A933C7">
        <w:rPr>
          <w:sz w:val="24"/>
          <w:szCs w:val="24"/>
        </w:rPr>
        <w:t xml:space="preserve">ir divas </w:t>
      </w:r>
      <w:r w:rsidR="004B564E" w:rsidRPr="00A933C7">
        <w:rPr>
          <w:sz w:val="24"/>
          <w:szCs w:val="24"/>
        </w:rPr>
        <w:t>ārstniecības un pacientu aprūpes personas</w:t>
      </w:r>
      <w:r w:rsidRPr="00A933C7">
        <w:rPr>
          <w:sz w:val="24"/>
          <w:szCs w:val="24"/>
        </w:rPr>
        <w:t xml:space="preserve">, </w:t>
      </w:r>
      <w:r w:rsidR="00A933C7" w:rsidRPr="00A933C7">
        <w:rPr>
          <w:sz w:val="24"/>
          <w:szCs w:val="24"/>
        </w:rPr>
        <w:t xml:space="preserve">maksājums tiek maksāts </w:t>
      </w:r>
      <w:r w:rsidRPr="00A933C7">
        <w:rPr>
          <w:sz w:val="24"/>
          <w:szCs w:val="24"/>
        </w:rPr>
        <w:t>divkāršā apmērā;</w:t>
      </w:r>
    </w:p>
    <w:p w14:paraId="39DF2177" w14:textId="77777777" w:rsidR="0076601B" w:rsidRPr="00877010" w:rsidRDefault="0076601B" w:rsidP="0076601B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sz w:val="24"/>
          <w:szCs w:val="24"/>
        </w:rPr>
      </w:pPr>
      <w:r w:rsidRPr="00877010">
        <w:rPr>
          <w:sz w:val="24"/>
          <w:szCs w:val="24"/>
        </w:rPr>
        <w:t>samaksu par ģimenes ārsta veiktajām manipulācijām</w:t>
      </w:r>
      <w:r w:rsidRPr="00877010">
        <w:rPr>
          <w:bCs/>
          <w:sz w:val="24"/>
          <w:szCs w:val="24"/>
        </w:rPr>
        <w:t>;</w:t>
      </w:r>
    </w:p>
    <w:p w14:paraId="4013A03B" w14:textId="5E5F6E73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 xml:space="preserve">maksājumu par slēpto asiņu </w:t>
      </w:r>
      <w:proofErr w:type="spellStart"/>
      <w:r w:rsidRPr="004F4EF9">
        <w:rPr>
          <w:sz w:val="24"/>
          <w:szCs w:val="24"/>
        </w:rPr>
        <w:t>skrīning</w:t>
      </w:r>
      <w:r w:rsidR="009C6574">
        <w:rPr>
          <w:sz w:val="24"/>
          <w:szCs w:val="24"/>
        </w:rPr>
        <w:t>a</w:t>
      </w:r>
      <w:proofErr w:type="spellEnd"/>
      <w:r w:rsidR="009C6574">
        <w:rPr>
          <w:sz w:val="24"/>
          <w:szCs w:val="24"/>
        </w:rPr>
        <w:t xml:space="preserve"> </w:t>
      </w:r>
      <w:r w:rsidRPr="004F4EF9">
        <w:rPr>
          <w:sz w:val="24"/>
          <w:szCs w:val="24"/>
        </w:rPr>
        <w:t>izmeklējumu saņēmušo pi</w:t>
      </w:r>
      <w:r w:rsidR="00C44927" w:rsidRPr="004F4EF9">
        <w:rPr>
          <w:sz w:val="24"/>
          <w:szCs w:val="24"/>
        </w:rPr>
        <w:t>eaugušo pacientu;</w:t>
      </w:r>
    </w:p>
    <w:p w14:paraId="4BF6D4A5" w14:textId="77777777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samaksu par īslaicīgo pacientu aprūpi;</w:t>
      </w:r>
    </w:p>
    <w:p w14:paraId="57489648" w14:textId="77777777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8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samaksu par Ukrainas pilsoņiem sniegto neatliekamo medicīnisko palīdzību;</w:t>
      </w:r>
    </w:p>
    <w:p w14:paraId="16BA27EB" w14:textId="23423B8F" w:rsidR="0076601B" w:rsidRPr="004F4EF9" w:rsidRDefault="0076601B" w:rsidP="0076601B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sz w:val="24"/>
          <w:szCs w:val="24"/>
        </w:rPr>
      </w:pPr>
      <w:r w:rsidRPr="004F4EF9">
        <w:rPr>
          <w:sz w:val="24"/>
          <w:szCs w:val="24"/>
        </w:rPr>
        <w:t>pacientu iemaksu par pacientiem, kas atbilstoši normatīvajiem aktiem ir atbrīvoti no pacientu iemaksas;</w:t>
      </w:r>
    </w:p>
    <w:p w14:paraId="7E9A1B17" w14:textId="38DC5DD4" w:rsidR="00C2497F" w:rsidRPr="004F4EF9" w:rsidRDefault="0076601B" w:rsidP="0010479E">
      <w:pPr>
        <w:numPr>
          <w:ilvl w:val="1"/>
          <w:numId w:val="4"/>
        </w:numPr>
        <w:tabs>
          <w:tab w:val="left" w:pos="900"/>
        </w:tabs>
        <w:ind w:right="27"/>
        <w:jc w:val="both"/>
        <w:rPr>
          <w:color w:val="000000"/>
          <w:sz w:val="24"/>
          <w:szCs w:val="24"/>
          <w:lang w:eastAsia="lv-LV"/>
        </w:rPr>
      </w:pPr>
      <w:r w:rsidRPr="004F4EF9">
        <w:rPr>
          <w:color w:val="000000"/>
          <w:sz w:val="24"/>
          <w:szCs w:val="24"/>
          <w:lang w:eastAsia="lv-LV"/>
        </w:rPr>
        <w:t>samaksu par Eiropas Savienības</w:t>
      </w:r>
      <w:r w:rsidR="009C6574">
        <w:rPr>
          <w:color w:val="000000"/>
          <w:sz w:val="24"/>
          <w:szCs w:val="24"/>
          <w:lang w:eastAsia="lv-LV"/>
        </w:rPr>
        <w:t xml:space="preserve"> dalībvalstu</w:t>
      </w:r>
      <w:r w:rsidRPr="004F4EF9">
        <w:rPr>
          <w:color w:val="000000"/>
          <w:sz w:val="24"/>
          <w:szCs w:val="24"/>
          <w:lang w:eastAsia="lv-LV"/>
        </w:rPr>
        <w:t>, Eiropas Ekonomikas zonas valst</w:t>
      </w:r>
      <w:r w:rsidR="009C6574">
        <w:rPr>
          <w:color w:val="000000"/>
          <w:sz w:val="24"/>
          <w:szCs w:val="24"/>
          <w:lang w:eastAsia="lv-LV"/>
        </w:rPr>
        <w:t>u</w:t>
      </w:r>
      <w:r w:rsidRPr="004F4EF9">
        <w:rPr>
          <w:color w:val="000000"/>
          <w:sz w:val="24"/>
          <w:szCs w:val="24"/>
          <w:lang w:eastAsia="lv-LV"/>
        </w:rPr>
        <w:t xml:space="preserve"> </w:t>
      </w:r>
      <w:r w:rsidR="009C6574">
        <w:rPr>
          <w:color w:val="000000"/>
          <w:sz w:val="24"/>
          <w:szCs w:val="24"/>
          <w:lang w:eastAsia="lv-LV"/>
        </w:rPr>
        <w:t>un</w:t>
      </w:r>
      <w:r w:rsidRPr="004F4EF9">
        <w:rPr>
          <w:color w:val="000000"/>
          <w:sz w:val="24"/>
          <w:szCs w:val="24"/>
          <w:lang w:eastAsia="lv-LV"/>
        </w:rPr>
        <w:t xml:space="preserve"> Šveices Konfederācijas sociālā nodrošinājuma sistēmai pakļautām personām sniegtajiem veselības aprūpes pakalpojumiem, kuras uzrāda Eiropas veselības apdrošināšanas karti vai to aizvietojošā sertifikāta kopiju un nav reģistrētas veselības aprūpes pakalpojumu saņēmēju reģistrā</w:t>
      </w:r>
      <w:r w:rsidR="0010479E" w:rsidRPr="004F4EF9">
        <w:rPr>
          <w:color w:val="000000"/>
          <w:sz w:val="24"/>
          <w:szCs w:val="24"/>
        </w:rPr>
        <w:t>.</w:t>
      </w:r>
    </w:p>
    <w:p w14:paraId="790E2E73" w14:textId="77777777" w:rsidR="00D76009" w:rsidRPr="00D97594" w:rsidRDefault="00D76009" w:rsidP="0076601B">
      <w:pPr>
        <w:ind w:right="27"/>
        <w:jc w:val="both"/>
        <w:rPr>
          <w:b/>
          <w:sz w:val="16"/>
          <w:szCs w:val="16"/>
        </w:rPr>
      </w:pPr>
    </w:p>
    <w:p w14:paraId="3018DD9A" w14:textId="0CE2CCA9" w:rsidR="00D5037D" w:rsidRDefault="00D5037D" w:rsidP="00D5037D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 w:rsidRPr="00956FA1">
        <w:rPr>
          <w:sz w:val="24"/>
          <w:szCs w:val="24"/>
        </w:rPr>
        <w:t xml:space="preserve">Šī </w:t>
      </w:r>
      <w:r w:rsidR="003A35D7">
        <w:rPr>
          <w:sz w:val="24"/>
          <w:szCs w:val="24"/>
        </w:rPr>
        <w:t xml:space="preserve">Līguma </w:t>
      </w:r>
      <w:r w:rsidRPr="00956FA1">
        <w:rPr>
          <w:sz w:val="24"/>
          <w:szCs w:val="24"/>
        </w:rPr>
        <w:t xml:space="preserve">pielikuma </w:t>
      </w:r>
      <w:r w:rsidR="003A35D7">
        <w:rPr>
          <w:sz w:val="24"/>
          <w:szCs w:val="24"/>
        </w:rPr>
        <w:t>1</w:t>
      </w:r>
      <w:r w:rsidR="0010479E">
        <w:rPr>
          <w:sz w:val="24"/>
          <w:szCs w:val="24"/>
        </w:rPr>
        <w:t xml:space="preserve">.5., </w:t>
      </w:r>
      <w:r w:rsidR="003A35D7">
        <w:rPr>
          <w:sz w:val="24"/>
          <w:szCs w:val="24"/>
        </w:rPr>
        <w:t>2</w:t>
      </w:r>
      <w:r w:rsidR="0010479E">
        <w:rPr>
          <w:sz w:val="24"/>
          <w:szCs w:val="24"/>
        </w:rPr>
        <w:t>.1</w:t>
      </w:r>
      <w:r w:rsidR="004B564E">
        <w:rPr>
          <w:sz w:val="24"/>
          <w:szCs w:val="24"/>
        </w:rPr>
        <w:t>.</w:t>
      </w:r>
      <w:r w:rsidR="003A35D7">
        <w:rPr>
          <w:sz w:val="24"/>
          <w:szCs w:val="24"/>
        </w:rPr>
        <w:t xml:space="preserve"> un 2.</w:t>
      </w:r>
      <w:r w:rsidR="004B564E">
        <w:rPr>
          <w:sz w:val="24"/>
          <w:szCs w:val="24"/>
        </w:rPr>
        <w:t>2</w:t>
      </w:r>
      <w:r w:rsidR="0010479E">
        <w:rPr>
          <w:sz w:val="24"/>
          <w:szCs w:val="24"/>
        </w:rPr>
        <w:t>.</w:t>
      </w:r>
      <w:r w:rsidR="003A35D7">
        <w:rPr>
          <w:sz w:val="24"/>
          <w:szCs w:val="24"/>
        </w:rPr>
        <w:t xml:space="preserve">punktā noteiktie </w:t>
      </w:r>
      <w:r w:rsidR="0010479E">
        <w:rPr>
          <w:sz w:val="24"/>
          <w:szCs w:val="24"/>
        </w:rPr>
        <w:t xml:space="preserve">maksājumi </w:t>
      </w:r>
      <w:r w:rsidR="003A35D7">
        <w:rPr>
          <w:sz w:val="24"/>
          <w:szCs w:val="24"/>
        </w:rPr>
        <w:t xml:space="preserve">tiek </w:t>
      </w:r>
      <w:r w:rsidR="0010479E">
        <w:rPr>
          <w:sz w:val="24"/>
          <w:szCs w:val="24"/>
        </w:rPr>
        <w:t>ap</w:t>
      </w:r>
      <w:r w:rsidRPr="00956FA1">
        <w:rPr>
          <w:sz w:val="24"/>
          <w:szCs w:val="24"/>
        </w:rPr>
        <w:t>rēķin</w:t>
      </w:r>
      <w:r w:rsidR="003A35D7">
        <w:rPr>
          <w:sz w:val="24"/>
          <w:szCs w:val="24"/>
        </w:rPr>
        <w:t xml:space="preserve">āti </w:t>
      </w:r>
      <w:r w:rsidRPr="00956FA1">
        <w:rPr>
          <w:sz w:val="24"/>
          <w:szCs w:val="24"/>
        </w:rPr>
        <w:t>katru mēnesi</w:t>
      </w:r>
      <w:r w:rsidR="003A35D7">
        <w:rPr>
          <w:sz w:val="24"/>
          <w:szCs w:val="24"/>
        </w:rPr>
        <w:t>, nosakot p</w:t>
      </w:r>
      <w:r w:rsidRPr="00956FA1">
        <w:rPr>
          <w:sz w:val="24"/>
          <w:szCs w:val="24"/>
        </w:rPr>
        <w:t>ie ārsta reģistrēto pacientu skait</w:t>
      </w:r>
      <w:r w:rsidR="003A35D7">
        <w:rPr>
          <w:sz w:val="24"/>
          <w:szCs w:val="24"/>
        </w:rPr>
        <w:t>u</w:t>
      </w:r>
      <w:r w:rsidRPr="00956FA1">
        <w:rPr>
          <w:sz w:val="24"/>
          <w:szCs w:val="24"/>
        </w:rPr>
        <w:t xml:space="preserve"> uz iepriekšējā pārskata perioda 20.datumu.</w:t>
      </w:r>
    </w:p>
    <w:p w14:paraId="44FA1F1B" w14:textId="77777777" w:rsidR="0071573F" w:rsidRDefault="0071573F" w:rsidP="0071573F">
      <w:pPr>
        <w:ind w:left="426" w:right="27"/>
        <w:jc w:val="both"/>
        <w:rPr>
          <w:sz w:val="24"/>
          <w:szCs w:val="24"/>
        </w:rPr>
      </w:pPr>
    </w:p>
    <w:p w14:paraId="4A88378F" w14:textId="744A2170" w:rsidR="0071573F" w:rsidRPr="00956FA1" w:rsidRDefault="00C44927" w:rsidP="00C44927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 w:rsidRPr="00956FA1">
        <w:rPr>
          <w:sz w:val="24"/>
          <w:szCs w:val="24"/>
        </w:rPr>
        <w:t xml:space="preserve">Šī </w:t>
      </w:r>
      <w:r w:rsidR="003A35D7">
        <w:rPr>
          <w:sz w:val="24"/>
          <w:szCs w:val="24"/>
        </w:rPr>
        <w:t xml:space="preserve">Līguma </w:t>
      </w:r>
      <w:r w:rsidRPr="00956FA1">
        <w:rPr>
          <w:sz w:val="24"/>
          <w:szCs w:val="24"/>
        </w:rPr>
        <w:t>pielikuma</w:t>
      </w:r>
      <w:r>
        <w:rPr>
          <w:sz w:val="24"/>
          <w:szCs w:val="24"/>
        </w:rPr>
        <w:t xml:space="preserve"> </w:t>
      </w:r>
      <w:r w:rsidR="003A35D7">
        <w:rPr>
          <w:sz w:val="24"/>
          <w:szCs w:val="24"/>
        </w:rPr>
        <w:t>1.2. un 2</w:t>
      </w:r>
      <w:r>
        <w:rPr>
          <w:sz w:val="24"/>
          <w:szCs w:val="24"/>
        </w:rPr>
        <w:t>.</w:t>
      </w:r>
      <w:r w:rsidR="004B564E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A35D7">
        <w:rPr>
          <w:sz w:val="24"/>
          <w:szCs w:val="24"/>
        </w:rPr>
        <w:t>-2</w:t>
      </w:r>
      <w:r>
        <w:rPr>
          <w:sz w:val="24"/>
          <w:szCs w:val="24"/>
        </w:rPr>
        <w:t>.</w:t>
      </w:r>
      <w:r w:rsidR="004B564E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A35D7">
        <w:rPr>
          <w:sz w:val="24"/>
          <w:szCs w:val="24"/>
        </w:rPr>
        <w:t>punktā</w:t>
      </w:r>
      <w:r>
        <w:rPr>
          <w:sz w:val="24"/>
          <w:szCs w:val="24"/>
        </w:rPr>
        <w:t xml:space="preserve"> noteiktie maksājumi tiek aprēķināti atbi</w:t>
      </w:r>
      <w:r w:rsidR="004F4EF9">
        <w:rPr>
          <w:sz w:val="24"/>
          <w:szCs w:val="24"/>
        </w:rPr>
        <w:t>l</w:t>
      </w:r>
      <w:r>
        <w:rPr>
          <w:sz w:val="24"/>
          <w:szCs w:val="24"/>
        </w:rPr>
        <w:t xml:space="preserve">stoši </w:t>
      </w:r>
      <w:r w:rsidR="003A35D7">
        <w:rPr>
          <w:sz w:val="24"/>
          <w:szCs w:val="24"/>
        </w:rPr>
        <w:t xml:space="preserve">IZPILDĪTĀJA </w:t>
      </w:r>
      <w:r>
        <w:rPr>
          <w:sz w:val="24"/>
          <w:szCs w:val="24"/>
        </w:rPr>
        <w:t>Vadības informācijas sistēmā ievadīta</w:t>
      </w:r>
      <w:r w:rsidR="003A35D7">
        <w:rPr>
          <w:sz w:val="24"/>
          <w:szCs w:val="24"/>
        </w:rPr>
        <w:t>jai</w:t>
      </w:r>
      <w:r>
        <w:rPr>
          <w:sz w:val="24"/>
          <w:szCs w:val="24"/>
        </w:rPr>
        <w:t xml:space="preserve"> informācijai.</w:t>
      </w:r>
    </w:p>
    <w:p w14:paraId="66C8403D" w14:textId="77777777" w:rsidR="00D76009" w:rsidRPr="00D97594" w:rsidRDefault="00D76009" w:rsidP="00D701D8">
      <w:pPr>
        <w:ind w:left="426" w:right="27" w:hanging="426"/>
        <w:jc w:val="both"/>
        <w:rPr>
          <w:sz w:val="16"/>
          <w:szCs w:val="16"/>
        </w:rPr>
      </w:pPr>
    </w:p>
    <w:p w14:paraId="2B555574" w14:textId="6DC88D18" w:rsidR="007C1CEF" w:rsidRDefault="007C1CEF" w:rsidP="00F92988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DIENESTS </w:t>
      </w:r>
      <w:r w:rsidR="00E0772A" w:rsidRPr="00E0772A">
        <w:rPr>
          <w:sz w:val="24"/>
          <w:szCs w:val="24"/>
        </w:rPr>
        <w:t>normatīvaj</w:t>
      </w:r>
      <w:r w:rsidR="00E0772A">
        <w:rPr>
          <w:sz w:val="24"/>
          <w:szCs w:val="24"/>
        </w:rPr>
        <w:t>os</w:t>
      </w:r>
      <w:r w:rsidR="00E0772A" w:rsidRPr="00E0772A">
        <w:rPr>
          <w:sz w:val="24"/>
          <w:szCs w:val="24"/>
        </w:rPr>
        <w:t xml:space="preserve"> akt</w:t>
      </w:r>
      <w:r w:rsidR="00E0772A">
        <w:rPr>
          <w:sz w:val="24"/>
          <w:szCs w:val="24"/>
        </w:rPr>
        <w:t>os</w:t>
      </w:r>
      <w:r w:rsidR="00E0772A" w:rsidRPr="00E0772A">
        <w:rPr>
          <w:sz w:val="24"/>
          <w:szCs w:val="24"/>
        </w:rPr>
        <w:t xml:space="preserve"> </w:t>
      </w:r>
      <w:r w:rsidR="00D76009" w:rsidRPr="00956FA1">
        <w:rPr>
          <w:sz w:val="24"/>
          <w:szCs w:val="24"/>
        </w:rPr>
        <w:t>noteikta</w:t>
      </w:r>
      <w:r w:rsidR="003E35B7">
        <w:rPr>
          <w:sz w:val="24"/>
          <w:szCs w:val="24"/>
        </w:rPr>
        <w:t>jos gadījumos un</w:t>
      </w:r>
      <w:r w:rsidR="00D76009" w:rsidRPr="00956FA1">
        <w:rPr>
          <w:sz w:val="24"/>
          <w:szCs w:val="24"/>
        </w:rPr>
        <w:t xml:space="preserve"> kārtīb</w:t>
      </w:r>
      <w:r w:rsidR="003E35B7">
        <w:rPr>
          <w:sz w:val="24"/>
          <w:szCs w:val="24"/>
        </w:rPr>
        <w:t>ā</w:t>
      </w:r>
      <w:r w:rsidRPr="007C1CEF">
        <w:rPr>
          <w:sz w:val="24"/>
          <w:szCs w:val="24"/>
        </w:rPr>
        <w:t xml:space="preserve"> </w:t>
      </w:r>
      <w:r w:rsidRPr="00956FA1">
        <w:rPr>
          <w:sz w:val="24"/>
          <w:szCs w:val="24"/>
        </w:rPr>
        <w:t>izmaksā</w:t>
      </w:r>
      <w:r>
        <w:rPr>
          <w:sz w:val="24"/>
          <w:szCs w:val="24"/>
        </w:rPr>
        <w:t xml:space="preserve"> IZPILDĪTĀJAM:</w:t>
      </w:r>
    </w:p>
    <w:p w14:paraId="03BC0F32" w14:textId="77777777" w:rsidR="007C1CEF" w:rsidRDefault="007C1CEF" w:rsidP="00224C00">
      <w:pPr>
        <w:pStyle w:val="ListParagraph"/>
        <w:numPr>
          <w:ilvl w:val="1"/>
          <w:numId w:val="4"/>
        </w:numPr>
        <w:ind w:right="27"/>
        <w:jc w:val="both"/>
      </w:pPr>
      <w:r w:rsidRPr="003E35B7">
        <w:t>ģimenes ārsta gada darbības novērtējuma  maksājumu</w:t>
      </w:r>
      <w:r>
        <w:t>;</w:t>
      </w:r>
    </w:p>
    <w:p w14:paraId="609FB2A6" w14:textId="77777777" w:rsidR="007C1CEF" w:rsidRDefault="009977E6" w:rsidP="00224C00">
      <w:pPr>
        <w:pStyle w:val="ListParagraph"/>
        <w:numPr>
          <w:ilvl w:val="1"/>
          <w:numId w:val="4"/>
        </w:numPr>
        <w:ind w:right="27"/>
        <w:jc w:val="both"/>
      </w:pPr>
      <w:r>
        <w:t>m</w:t>
      </w:r>
      <w:r w:rsidRPr="009977E6">
        <w:t>aksājumu par ģimenes ārsta pacientu reģistrā pacientiem sav</w:t>
      </w:r>
      <w:r>
        <w:t>laicīgi atklātu vēzi 1. vai 2.s</w:t>
      </w:r>
      <w:r w:rsidRPr="009977E6">
        <w:t>tadijā</w:t>
      </w:r>
      <w:r>
        <w:t>;</w:t>
      </w:r>
    </w:p>
    <w:p w14:paraId="6DF98743" w14:textId="2810ED24" w:rsidR="006B3FF1" w:rsidRDefault="009977E6" w:rsidP="00224C00">
      <w:pPr>
        <w:pStyle w:val="ListParagraph"/>
        <w:numPr>
          <w:ilvl w:val="1"/>
          <w:numId w:val="4"/>
        </w:numPr>
        <w:ind w:right="27"/>
        <w:jc w:val="both"/>
      </w:pPr>
      <w:r>
        <w:t>m</w:t>
      </w:r>
      <w:r w:rsidR="003E7EBF">
        <w:t>aksājumu par iepriekšējā</w:t>
      </w:r>
      <w:r w:rsidRPr="009977E6">
        <w:t xml:space="preserve"> gadā </w:t>
      </w:r>
      <w:r w:rsidR="003E7EBF" w:rsidRPr="009977E6">
        <w:t>pilnā apmērā</w:t>
      </w:r>
      <w:r w:rsidR="003E7EBF">
        <w:t xml:space="preserve"> neizlietot</w:t>
      </w:r>
      <w:r w:rsidR="003A35D7">
        <w:t>aj</w:t>
      </w:r>
      <w:r w:rsidR="003E7EBF">
        <w:t>iem</w:t>
      </w:r>
      <w:r w:rsidRPr="009977E6">
        <w:t xml:space="preserve"> ambulatoro laboratorisko pakalpojumu samaksai </w:t>
      </w:r>
      <w:r w:rsidR="003A35D7">
        <w:t>plānotajiem</w:t>
      </w:r>
      <w:r w:rsidRPr="009977E6">
        <w:t xml:space="preserve"> līdzekļiem</w:t>
      </w:r>
      <w:r w:rsidR="006B3FF1">
        <w:t>.</w:t>
      </w:r>
    </w:p>
    <w:p w14:paraId="27853F32" w14:textId="77777777" w:rsidR="00D76009" w:rsidRPr="00D97594" w:rsidRDefault="00D76009" w:rsidP="00224C00">
      <w:pPr>
        <w:ind w:right="27"/>
        <w:jc w:val="both"/>
        <w:rPr>
          <w:sz w:val="16"/>
          <w:szCs w:val="16"/>
        </w:rPr>
      </w:pPr>
    </w:p>
    <w:p w14:paraId="3DD628B9" w14:textId="429CEB81" w:rsidR="00E67095" w:rsidRPr="006B3FF1" w:rsidRDefault="004071C5" w:rsidP="006B3FF1">
      <w:pPr>
        <w:numPr>
          <w:ilvl w:val="0"/>
          <w:numId w:val="4"/>
        </w:numPr>
        <w:ind w:left="426" w:right="27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Papildus plānotajai summai, kas </w:t>
      </w:r>
      <w:r w:rsidR="006B3FF1">
        <w:rPr>
          <w:sz w:val="24"/>
          <w:szCs w:val="24"/>
        </w:rPr>
        <w:t>noteikta</w:t>
      </w:r>
      <w:r w:rsidR="006B3FF1" w:rsidRPr="006B3FF1">
        <w:rPr>
          <w:sz w:val="24"/>
          <w:szCs w:val="24"/>
        </w:rPr>
        <w:t xml:space="preserve"> atbilstoši Līguma 2.1.</w:t>
      </w:r>
      <w:r>
        <w:rPr>
          <w:sz w:val="24"/>
          <w:szCs w:val="24"/>
        </w:rPr>
        <w:t>1.</w:t>
      </w:r>
      <w:r w:rsidR="004B564E">
        <w:rPr>
          <w:sz w:val="24"/>
          <w:szCs w:val="24"/>
        </w:rPr>
        <w:t xml:space="preserve"> </w:t>
      </w:r>
      <w:r w:rsidR="006B3FF1" w:rsidRPr="006B3FF1">
        <w:rPr>
          <w:sz w:val="24"/>
          <w:szCs w:val="24"/>
        </w:rPr>
        <w:t>punktam</w:t>
      </w:r>
      <w:r w:rsidR="006B3FF1">
        <w:rPr>
          <w:sz w:val="24"/>
          <w:szCs w:val="24"/>
        </w:rPr>
        <w:t xml:space="preserve">, </w:t>
      </w:r>
      <w:r w:rsidR="00E67095" w:rsidRPr="006B3FF1">
        <w:rPr>
          <w:sz w:val="24"/>
          <w:szCs w:val="24"/>
        </w:rPr>
        <w:t>ģimenes ārsts ir tiesīgs nosūtīt laboratorisko pakalpojumu saņemšanai šādas personas:</w:t>
      </w:r>
    </w:p>
    <w:p w14:paraId="5BE50697" w14:textId="7C08305C" w:rsidR="000C34E7" w:rsidRPr="006B3FF1" w:rsidRDefault="000C34E7" w:rsidP="006B3FF1">
      <w:pPr>
        <w:pStyle w:val="ListParagraph"/>
        <w:numPr>
          <w:ilvl w:val="1"/>
          <w:numId w:val="4"/>
        </w:numPr>
        <w:jc w:val="both"/>
        <w:rPr>
          <w:color w:val="000000"/>
        </w:rPr>
      </w:pPr>
      <w:r w:rsidRPr="006B3FF1">
        <w:rPr>
          <w:color w:val="000000"/>
        </w:rPr>
        <w:t>Eiropas Savienības</w:t>
      </w:r>
      <w:r w:rsidR="009C6574">
        <w:rPr>
          <w:color w:val="000000"/>
        </w:rPr>
        <w:t xml:space="preserve"> dalībvalsts</w:t>
      </w:r>
      <w:r w:rsidRPr="006B3FF1">
        <w:rPr>
          <w:color w:val="000000"/>
        </w:rPr>
        <w:t>, Eiropas Ekonomikas zonas valsts vai Šveices Konfederācijas sociālā nodrošinājuma sistēma</w:t>
      </w:r>
      <w:r w:rsidR="009C6574">
        <w:rPr>
          <w:color w:val="000000"/>
        </w:rPr>
        <w:t xml:space="preserve">i </w:t>
      </w:r>
      <w:r w:rsidRPr="006B3FF1">
        <w:rPr>
          <w:color w:val="000000"/>
        </w:rPr>
        <w:t>pakļaut</w:t>
      </w:r>
      <w:r w:rsidR="009C6574">
        <w:rPr>
          <w:color w:val="000000"/>
        </w:rPr>
        <w:t>u</w:t>
      </w:r>
      <w:r w:rsidRPr="006B3FF1">
        <w:rPr>
          <w:color w:val="000000"/>
        </w:rPr>
        <w:t xml:space="preserve"> person</w:t>
      </w:r>
      <w:r w:rsidR="009C6574">
        <w:rPr>
          <w:color w:val="000000"/>
        </w:rPr>
        <w:t>u</w:t>
      </w:r>
      <w:r w:rsidRPr="006B3FF1">
        <w:rPr>
          <w:color w:val="000000"/>
        </w:rPr>
        <w:t>,</w:t>
      </w:r>
      <w:r w:rsidR="00F238F6" w:rsidRPr="006B3FF1">
        <w:rPr>
          <w:color w:val="000000"/>
        </w:rPr>
        <w:t xml:space="preserve"> kas nav reģistrēta veselības aprūpes pakalpojumu saņēmēju reģistrā,</w:t>
      </w:r>
      <w:r w:rsidRPr="006B3FF1">
        <w:rPr>
          <w:color w:val="000000"/>
        </w:rPr>
        <w:t xml:space="preserve"> ja tiek uzrādīta E 106; E 109; E 112; E 120; E 121; S1; S2</w:t>
      </w:r>
      <w:r w:rsidR="009C6574">
        <w:rPr>
          <w:color w:val="000000"/>
        </w:rPr>
        <w:t xml:space="preserve"> vai</w:t>
      </w:r>
      <w:r w:rsidRPr="006B3FF1">
        <w:rPr>
          <w:color w:val="000000"/>
        </w:rPr>
        <w:t xml:space="preserve"> S3 veidlapa, Eiropas veselības apdrošināšanas karte vai to aizvietojošā sertifikāta kopija;</w:t>
      </w:r>
    </w:p>
    <w:p w14:paraId="7C3AB055" w14:textId="66804159" w:rsidR="00E67095" w:rsidRPr="00956FA1" w:rsidRDefault="00E67095" w:rsidP="006B3FF1">
      <w:pPr>
        <w:pStyle w:val="ListParagraph"/>
        <w:numPr>
          <w:ilvl w:val="1"/>
          <w:numId w:val="4"/>
        </w:numPr>
        <w:ind w:left="851" w:right="27" w:hanging="425"/>
        <w:contextualSpacing w:val="0"/>
        <w:jc w:val="both"/>
      </w:pPr>
      <w:r w:rsidRPr="00956FA1">
        <w:t>Ukrainas pilso</w:t>
      </w:r>
      <w:r w:rsidR="009C6574">
        <w:t>ni</w:t>
      </w:r>
      <w:r w:rsidRPr="00956FA1">
        <w:t>, kas saņem neatliekamo palīdzību;</w:t>
      </w:r>
    </w:p>
    <w:p w14:paraId="728BB924" w14:textId="44A239F6" w:rsidR="00E67095" w:rsidRDefault="00E67095" w:rsidP="006B3FF1">
      <w:pPr>
        <w:pStyle w:val="ListParagraph"/>
        <w:numPr>
          <w:ilvl w:val="1"/>
          <w:numId w:val="4"/>
        </w:numPr>
        <w:ind w:left="851" w:right="27" w:hanging="425"/>
        <w:contextualSpacing w:val="0"/>
        <w:jc w:val="both"/>
      </w:pPr>
      <w:r w:rsidRPr="00956FA1">
        <w:t>person</w:t>
      </w:r>
      <w:r w:rsidR="009C6574">
        <w:t>u</w:t>
      </w:r>
      <w:r w:rsidRPr="00956FA1">
        <w:t xml:space="preserve">, kas saņem </w:t>
      </w:r>
      <w:r w:rsidR="00CD7B52">
        <w:t xml:space="preserve">normatīvajos aktos </w:t>
      </w:r>
      <w:r w:rsidR="00FD2C08">
        <w:t xml:space="preserve">noteiktos profilaktiskos </w:t>
      </w:r>
      <w:r w:rsidRPr="00956FA1">
        <w:t>pakalpojumus.</w:t>
      </w:r>
    </w:p>
    <w:p w14:paraId="754A9B7A" w14:textId="77777777" w:rsidR="00D97594" w:rsidRPr="00D97594" w:rsidRDefault="00D97594" w:rsidP="00D97594">
      <w:pPr>
        <w:ind w:left="426" w:right="27"/>
        <w:jc w:val="both"/>
        <w:rPr>
          <w:sz w:val="16"/>
          <w:szCs w:val="16"/>
        </w:rPr>
      </w:pPr>
    </w:p>
    <w:p w14:paraId="25079797" w14:textId="1924CF16" w:rsidR="006B3FF1" w:rsidRDefault="006B3FF1" w:rsidP="006B3FF1">
      <w:pPr>
        <w:pStyle w:val="ListParagraph"/>
        <w:numPr>
          <w:ilvl w:val="0"/>
          <w:numId w:val="4"/>
        </w:numPr>
        <w:ind w:left="426" w:right="27" w:hanging="426"/>
        <w:jc w:val="both"/>
      </w:pPr>
      <w:r>
        <w:t>Ģimenes</w:t>
      </w:r>
      <w:r w:rsidRPr="006B3FF1">
        <w:t xml:space="preserve"> ārsts </w:t>
      </w:r>
      <w:r>
        <w:t>i</w:t>
      </w:r>
      <w:r w:rsidR="00067389">
        <w:t>zrakst</w:t>
      </w:r>
      <w:r>
        <w:t xml:space="preserve">a </w:t>
      </w:r>
      <w:r w:rsidR="00067389">
        <w:t xml:space="preserve">kompensējamās zāles un medicīniskās ierīces </w:t>
      </w:r>
      <w:r>
        <w:t xml:space="preserve">plānotās </w:t>
      </w:r>
      <w:r w:rsidRPr="006B3FF1">
        <w:t>summas ietvaros</w:t>
      </w:r>
      <w:r>
        <w:t>, kas noteikta</w:t>
      </w:r>
      <w:r w:rsidRPr="006B3FF1">
        <w:t xml:space="preserve"> atbilstoši Līguma </w:t>
      </w:r>
      <w:r w:rsidR="004B564E">
        <w:t>2.</w:t>
      </w:r>
      <w:r w:rsidR="00775090">
        <w:t>1.</w:t>
      </w:r>
      <w:r w:rsidR="004B564E">
        <w:t>2.</w:t>
      </w:r>
      <w:r w:rsidRPr="006B3FF1">
        <w:t>punktam</w:t>
      </w:r>
      <w:r>
        <w:t>.</w:t>
      </w:r>
    </w:p>
    <w:p w14:paraId="69705599" w14:textId="55AD6225" w:rsidR="00927BD5" w:rsidRDefault="00927BD5" w:rsidP="00927BD5">
      <w:pPr>
        <w:ind w:right="27"/>
        <w:jc w:val="both"/>
      </w:pPr>
    </w:p>
    <w:p w14:paraId="779AF948" w14:textId="0F5A492D" w:rsidR="006B3FF1" w:rsidRDefault="006B3FF1" w:rsidP="00927BD5">
      <w:pPr>
        <w:ind w:right="27"/>
        <w:jc w:val="both"/>
      </w:pPr>
    </w:p>
    <w:p w14:paraId="15B60D4E" w14:textId="77777777" w:rsidR="006B3FF1" w:rsidRDefault="006B3FF1" w:rsidP="00927BD5">
      <w:pPr>
        <w:ind w:right="27"/>
        <w:jc w:val="both"/>
      </w:pPr>
    </w:p>
    <w:p w14:paraId="6EEF6B79" w14:textId="77777777" w:rsidR="00D97594" w:rsidRPr="00956FA1" w:rsidRDefault="00D97594" w:rsidP="006E4E80">
      <w:pPr>
        <w:tabs>
          <w:tab w:val="left" w:pos="7560"/>
        </w:tabs>
        <w:rPr>
          <w:sz w:val="24"/>
          <w:szCs w:val="24"/>
        </w:rPr>
      </w:pPr>
    </w:p>
    <w:p w14:paraId="71FAFFBC" w14:textId="77777777" w:rsidR="00D97594" w:rsidRPr="006B3FF1" w:rsidRDefault="00BE4CD4" w:rsidP="006B3FF1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b/>
          <w:sz w:val="24"/>
          <w:szCs w:val="24"/>
        </w:rPr>
      </w:pPr>
      <w:r w:rsidRPr="006B3FF1">
        <w:rPr>
          <w:rFonts w:eastAsia="Calibri"/>
          <w:b/>
          <w:sz w:val="24"/>
          <w:szCs w:val="24"/>
        </w:rPr>
        <w:t>DIENESTS</w:t>
      </w:r>
      <w:r w:rsidR="009600F9" w:rsidRPr="006B3FF1">
        <w:rPr>
          <w:rFonts w:eastAsia="Calibri"/>
          <w:b/>
          <w:sz w:val="24"/>
          <w:szCs w:val="24"/>
        </w:rPr>
        <w:tab/>
        <w:t xml:space="preserve"> </w:t>
      </w:r>
      <w:r w:rsidR="00D76009" w:rsidRPr="006B3FF1">
        <w:rPr>
          <w:rFonts w:eastAsia="Calibri"/>
          <w:b/>
          <w:sz w:val="24"/>
          <w:szCs w:val="24"/>
        </w:rPr>
        <w:t xml:space="preserve">IZPILDĪTĀJS </w:t>
      </w:r>
    </w:p>
    <w:p w14:paraId="4531B606" w14:textId="77777777" w:rsidR="00D97594" w:rsidRPr="00B00C36" w:rsidRDefault="00D97594" w:rsidP="009600F9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1F20DF38" w14:textId="77777777" w:rsidR="00D97594" w:rsidRPr="00B00C36" w:rsidRDefault="00D97594" w:rsidP="009600F9">
      <w:pPr>
        <w:tabs>
          <w:tab w:val="left" w:pos="5812"/>
        </w:tabs>
        <w:ind w:left="1276"/>
        <w:rPr>
          <w:b/>
          <w:sz w:val="24"/>
          <w:szCs w:val="24"/>
        </w:rPr>
      </w:pPr>
    </w:p>
    <w:p w14:paraId="7D4831DA" w14:textId="77777777" w:rsidR="006B3FF1" w:rsidRPr="006B3FF1" w:rsidRDefault="006B3FF1" w:rsidP="006B3FF1">
      <w:pPr>
        <w:tabs>
          <w:tab w:val="left" w:pos="4820"/>
        </w:tabs>
        <w:suppressAutoHyphens/>
        <w:autoSpaceDN w:val="0"/>
        <w:spacing w:line="276" w:lineRule="auto"/>
        <w:ind w:left="142"/>
        <w:textAlignment w:val="baseline"/>
        <w:rPr>
          <w:rFonts w:eastAsia="Calibri"/>
          <w:sz w:val="24"/>
          <w:szCs w:val="24"/>
        </w:rPr>
      </w:pPr>
      <w:r w:rsidRPr="006B3FF1">
        <w:rPr>
          <w:rFonts w:eastAsia="Calibri"/>
          <w:sz w:val="24"/>
          <w:szCs w:val="24"/>
        </w:rPr>
        <w:t>__________________________________</w:t>
      </w:r>
      <w:r w:rsidRPr="006B3FF1">
        <w:rPr>
          <w:rFonts w:eastAsia="Calibri"/>
          <w:sz w:val="24"/>
          <w:szCs w:val="24"/>
        </w:rPr>
        <w:tab/>
        <w:t>__________________________________</w:t>
      </w:r>
    </w:p>
    <w:p w14:paraId="4B20356B" w14:textId="127DC055" w:rsidR="00D76009" w:rsidRPr="005828B1" w:rsidRDefault="00D00C79" w:rsidP="009600F9">
      <w:pPr>
        <w:tabs>
          <w:tab w:val="left" w:pos="5812"/>
        </w:tabs>
        <w:ind w:left="1276"/>
        <w:rPr>
          <w:sz w:val="24"/>
          <w:szCs w:val="24"/>
        </w:rPr>
      </w:pPr>
      <w:r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  <w:r w:rsidR="00C63574">
        <w:rPr>
          <w:sz w:val="24"/>
          <w:szCs w:val="24"/>
        </w:rPr>
        <w:tab/>
      </w:r>
    </w:p>
    <w:sectPr w:rsidR="00D76009" w:rsidRPr="005828B1" w:rsidSect="00D611CB">
      <w:pgSz w:w="11906" w:h="16838"/>
      <w:pgMar w:top="964" w:right="96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57B"/>
    <w:multiLevelType w:val="hybridMultilevel"/>
    <w:tmpl w:val="74DED8AE"/>
    <w:lvl w:ilvl="0" w:tplc="AC1647BE">
      <w:numFmt w:val="bullet"/>
      <w:lvlText w:val="-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C364B4"/>
    <w:multiLevelType w:val="hybridMultilevel"/>
    <w:tmpl w:val="C01EF642"/>
    <w:lvl w:ilvl="0" w:tplc="04D244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911D6B"/>
    <w:multiLevelType w:val="hybridMultilevel"/>
    <w:tmpl w:val="A4AA8F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E2E30"/>
    <w:multiLevelType w:val="multilevel"/>
    <w:tmpl w:val="6874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2E3C634E"/>
    <w:multiLevelType w:val="multilevel"/>
    <w:tmpl w:val="EBF23FF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5" w15:restartNumberingAfterBreak="0">
    <w:nsid w:val="2FFE545B"/>
    <w:multiLevelType w:val="hybridMultilevel"/>
    <w:tmpl w:val="C7BAE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1121D"/>
    <w:multiLevelType w:val="hybridMultilevel"/>
    <w:tmpl w:val="1FEE2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D209A"/>
    <w:multiLevelType w:val="multilevel"/>
    <w:tmpl w:val="86D62E4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563D2287"/>
    <w:multiLevelType w:val="multilevel"/>
    <w:tmpl w:val="AB6E2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2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80"/>
    <w:rsid w:val="00012B47"/>
    <w:rsid w:val="00015CD3"/>
    <w:rsid w:val="00021384"/>
    <w:rsid w:val="00050CD5"/>
    <w:rsid w:val="00053DA3"/>
    <w:rsid w:val="00067389"/>
    <w:rsid w:val="00075C08"/>
    <w:rsid w:val="00075D35"/>
    <w:rsid w:val="000769C0"/>
    <w:rsid w:val="00077288"/>
    <w:rsid w:val="00081F8A"/>
    <w:rsid w:val="000A24EC"/>
    <w:rsid w:val="000A72CD"/>
    <w:rsid w:val="000B3461"/>
    <w:rsid w:val="000C34E7"/>
    <w:rsid w:val="000C7DD5"/>
    <w:rsid w:val="000D0966"/>
    <w:rsid w:val="000F28BC"/>
    <w:rsid w:val="0010479E"/>
    <w:rsid w:val="00120BE6"/>
    <w:rsid w:val="0014731B"/>
    <w:rsid w:val="00181F2D"/>
    <w:rsid w:val="00192BF8"/>
    <w:rsid w:val="001A6304"/>
    <w:rsid w:val="001D0A20"/>
    <w:rsid w:val="001D1669"/>
    <w:rsid w:val="001D3CE5"/>
    <w:rsid w:val="001D40F2"/>
    <w:rsid w:val="001E36CA"/>
    <w:rsid w:val="001F6B2A"/>
    <w:rsid w:val="00224C00"/>
    <w:rsid w:val="002974FA"/>
    <w:rsid w:val="002A6F98"/>
    <w:rsid w:val="002B0D31"/>
    <w:rsid w:val="002B7328"/>
    <w:rsid w:val="002D0F32"/>
    <w:rsid w:val="002D2821"/>
    <w:rsid w:val="002E1173"/>
    <w:rsid w:val="00320924"/>
    <w:rsid w:val="00323422"/>
    <w:rsid w:val="00327412"/>
    <w:rsid w:val="003313DA"/>
    <w:rsid w:val="00331F84"/>
    <w:rsid w:val="00335B6F"/>
    <w:rsid w:val="00336340"/>
    <w:rsid w:val="003375BD"/>
    <w:rsid w:val="0034793C"/>
    <w:rsid w:val="00353198"/>
    <w:rsid w:val="00370B35"/>
    <w:rsid w:val="00370F23"/>
    <w:rsid w:val="003826D2"/>
    <w:rsid w:val="0038579B"/>
    <w:rsid w:val="003A13D3"/>
    <w:rsid w:val="003A35D7"/>
    <w:rsid w:val="003B1A8E"/>
    <w:rsid w:val="003B6A1F"/>
    <w:rsid w:val="003C691C"/>
    <w:rsid w:val="003C6EE0"/>
    <w:rsid w:val="003D1346"/>
    <w:rsid w:val="003E35B7"/>
    <w:rsid w:val="003E5E5B"/>
    <w:rsid w:val="003E6C0A"/>
    <w:rsid w:val="003E7EBF"/>
    <w:rsid w:val="00401B25"/>
    <w:rsid w:val="004071C5"/>
    <w:rsid w:val="00427CA3"/>
    <w:rsid w:val="004346FD"/>
    <w:rsid w:val="004631E0"/>
    <w:rsid w:val="004764A3"/>
    <w:rsid w:val="0048065E"/>
    <w:rsid w:val="00481BEE"/>
    <w:rsid w:val="004A5737"/>
    <w:rsid w:val="004B564E"/>
    <w:rsid w:val="004C5275"/>
    <w:rsid w:val="004D6D5D"/>
    <w:rsid w:val="004F4EF9"/>
    <w:rsid w:val="004F743F"/>
    <w:rsid w:val="005032C2"/>
    <w:rsid w:val="00504272"/>
    <w:rsid w:val="00547468"/>
    <w:rsid w:val="00547793"/>
    <w:rsid w:val="00564B39"/>
    <w:rsid w:val="005828B1"/>
    <w:rsid w:val="005925E0"/>
    <w:rsid w:val="005C6F2F"/>
    <w:rsid w:val="005F2A8C"/>
    <w:rsid w:val="00620377"/>
    <w:rsid w:val="006210E3"/>
    <w:rsid w:val="0062524B"/>
    <w:rsid w:val="006261C6"/>
    <w:rsid w:val="00630423"/>
    <w:rsid w:val="0063047F"/>
    <w:rsid w:val="00630D41"/>
    <w:rsid w:val="00645653"/>
    <w:rsid w:val="006666B5"/>
    <w:rsid w:val="00683CFA"/>
    <w:rsid w:val="0069670C"/>
    <w:rsid w:val="006A172B"/>
    <w:rsid w:val="006A4DD0"/>
    <w:rsid w:val="006A55D9"/>
    <w:rsid w:val="006A5DB2"/>
    <w:rsid w:val="006B3FF1"/>
    <w:rsid w:val="006E3F0B"/>
    <w:rsid w:val="006E4E80"/>
    <w:rsid w:val="006F3D95"/>
    <w:rsid w:val="0071573F"/>
    <w:rsid w:val="007312D7"/>
    <w:rsid w:val="00736517"/>
    <w:rsid w:val="00741041"/>
    <w:rsid w:val="00754B57"/>
    <w:rsid w:val="00763833"/>
    <w:rsid w:val="0076601B"/>
    <w:rsid w:val="00770531"/>
    <w:rsid w:val="00775090"/>
    <w:rsid w:val="00777F75"/>
    <w:rsid w:val="007856AB"/>
    <w:rsid w:val="00787F35"/>
    <w:rsid w:val="007B5198"/>
    <w:rsid w:val="007B5D42"/>
    <w:rsid w:val="007C1CEF"/>
    <w:rsid w:val="007C5319"/>
    <w:rsid w:val="007D60A9"/>
    <w:rsid w:val="007D6EE8"/>
    <w:rsid w:val="008123A1"/>
    <w:rsid w:val="00814EBD"/>
    <w:rsid w:val="00835B25"/>
    <w:rsid w:val="00840A8B"/>
    <w:rsid w:val="00845AF1"/>
    <w:rsid w:val="00847DF6"/>
    <w:rsid w:val="00877010"/>
    <w:rsid w:val="008A01DB"/>
    <w:rsid w:val="008D2D3E"/>
    <w:rsid w:val="008D6815"/>
    <w:rsid w:val="009008D8"/>
    <w:rsid w:val="00912EF9"/>
    <w:rsid w:val="00921396"/>
    <w:rsid w:val="00927BD5"/>
    <w:rsid w:val="00956FA1"/>
    <w:rsid w:val="009600F9"/>
    <w:rsid w:val="0096298A"/>
    <w:rsid w:val="009916B3"/>
    <w:rsid w:val="00992EC3"/>
    <w:rsid w:val="009977E6"/>
    <w:rsid w:val="009C041B"/>
    <w:rsid w:val="009C6574"/>
    <w:rsid w:val="009E196B"/>
    <w:rsid w:val="009F020F"/>
    <w:rsid w:val="009F4D87"/>
    <w:rsid w:val="00A11A18"/>
    <w:rsid w:val="00A153DE"/>
    <w:rsid w:val="00A316E3"/>
    <w:rsid w:val="00A618FD"/>
    <w:rsid w:val="00A7778A"/>
    <w:rsid w:val="00A85CCD"/>
    <w:rsid w:val="00A86693"/>
    <w:rsid w:val="00A91FFE"/>
    <w:rsid w:val="00A933C7"/>
    <w:rsid w:val="00AD3D3E"/>
    <w:rsid w:val="00AE1E3B"/>
    <w:rsid w:val="00B00C36"/>
    <w:rsid w:val="00B04C16"/>
    <w:rsid w:val="00B13D04"/>
    <w:rsid w:val="00B1649E"/>
    <w:rsid w:val="00B16F11"/>
    <w:rsid w:val="00B65655"/>
    <w:rsid w:val="00B70573"/>
    <w:rsid w:val="00B72B46"/>
    <w:rsid w:val="00BE1E4A"/>
    <w:rsid w:val="00BE402C"/>
    <w:rsid w:val="00BE4CD4"/>
    <w:rsid w:val="00BF1D7C"/>
    <w:rsid w:val="00BF4147"/>
    <w:rsid w:val="00C175D2"/>
    <w:rsid w:val="00C2497F"/>
    <w:rsid w:val="00C31F56"/>
    <w:rsid w:val="00C44927"/>
    <w:rsid w:val="00C45E2D"/>
    <w:rsid w:val="00C5680B"/>
    <w:rsid w:val="00C60E74"/>
    <w:rsid w:val="00C63368"/>
    <w:rsid w:val="00C63574"/>
    <w:rsid w:val="00C65C10"/>
    <w:rsid w:val="00CB553C"/>
    <w:rsid w:val="00CC2AB0"/>
    <w:rsid w:val="00CC4229"/>
    <w:rsid w:val="00CD08EB"/>
    <w:rsid w:val="00CD7B52"/>
    <w:rsid w:val="00D00C79"/>
    <w:rsid w:val="00D06A81"/>
    <w:rsid w:val="00D072B8"/>
    <w:rsid w:val="00D077B8"/>
    <w:rsid w:val="00D12657"/>
    <w:rsid w:val="00D25CC8"/>
    <w:rsid w:val="00D32CFB"/>
    <w:rsid w:val="00D34EC9"/>
    <w:rsid w:val="00D43177"/>
    <w:rsid w:val="00D5037D"/>
    <w:rsid w:val="00D611CB"/>
    <w:rsid w:val="00D701D8"/>
    <w:rsid w:val="00D76009"/>
    <w:rsid w:val="00D81123"/>
    <w:rsid w:val="00D82E77"/>
    <w:rsid w:val="00D86055"/>
    <w:rsid w:val="00D86234"/>
    <w:rsid w:val="00D9485E"/>
    <w:rsid w:val="00D97594"/>
    <w:rsid w:val="00DB4181"/>
    <w:rsid w:val="00DB6C29"/>
    <w:rsid w:val="00DB7E54"/>
    <w:rsid w:val="00DD10ED"/>
    <w:rsid w:val="00E03658"/>
    <w:rsid w:val="00E05798"/>
    <w:rsid w:val="00E0772A"/>
    <w:rsid w:val="00E269E0"/>
    <w:rsid w:val="00E32ACD"/>
    <w:rsid w:val="00E363A9"/>
    <w:rsid w:val="00E408F4"/>
    <w:rsid w:val="00E4747D"/>
    <w:rsid w:val="00E62841"/>
    <w:rsid w:val="00E6608D"/>
    <w:rsid w:val="00E67095"/>
    <w:rsid w:val="00E73E4B"/>
    <w:rsid w:val="00EB322C"/>
    <w:rsid w:val="00EB6563"/>
    <w:rsid w:val="00EC38C0"/>
    <w:rsid w:val="00ED50E9"/>
    <w:rsid w:val="00EE0987"/>
    <w:rsid w:val="00EF5B13"/>
    <w:rsid w:val="00F10735"/>
    <w:rsid w:val="00F238F6"/>
    <w:rsid w:val="00F27CA6"/>
    <w:rsid w:val="00F316D2"/>
    <w:rsid w:val="00F34F71"/>
    <w:rsid w:val="00F46037"/>
    <w:rsid w:val="00F74280"/>
    <w:rsid w:val="00F92988"/>
    <w:rsid w:val="00F929CC"/>
    <w:rsid w:val="00FB4673"/>
    <w:rsid w:val="00FC11DF"/>
    <w:rsid w:val="00FD2290"/>
    <w:rsid w:val="00FD2C08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51C934"/>
  <w15:chartTrackingRefBased/>
  <w15:docId w15:val="{5346C0C6-3B5B-42DB-AEA8-DB8E7AE2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E8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E80"/>
    <w:pPr>
      <w:ind w:left="720"/>
      <w:contextualSpacing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8B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28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EB3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22C"/>
  </w:style>
  <w:style w:type="character" w:customStyle="1" w:styleId="CommentTextChar">
    <w:name w:val="Comment Text Char"/>
    <w:link w:val="CommentText"/>
    <w:uiPriority w:val="99"/>
    <w:semiHidden/>
    <w:rsid w:val="00EB32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2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322C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485E"/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9485E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4F13-FEE8-4F42-AC37-F3EC49EF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VOAVA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Liga.Gaigala</dc:creator>
  <cp:keywords/>
  <cp:lastModifiedBy>Inna Aleksandroviča</cp:lastModifiedBy>
  <cp:revision>3</cp:revision>
  <cp:lastPrinted>2017-11-02T08:09:00Z</cp:lastPrinted>
  <dcterms:created xsi:type="dcterms:W3CDTF">2017-12-28T09:28:00Z</dcterms:created>
  <dcterms:modified xsi:type="dcterms:W3CDTF">2017-12-29T12:33:00Z</dcterms:modified>
</cp:coreProperties>
</file>