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1E" w:rsidRPr="00A90F47" w:rsidRDefault="0056291E" w:rsidP="0056291E">
      <w:pPr>
        <w:jc w:val="center"/>
        <w:rPr>
          <w:rFonts w:ascii="Calibri" w:hAnsi="Calibri" w:cs="Arial"/>
          <w:bCs/>
          <w:caps/>
          <w:color w:val="000000"/>
          <w:sz w:val="28"/>
          <w:szCs w:val="32"/>
        </w:rPr>
      </w:pPr>
      <w:r w:rsidRPr="00A90F47">
        <w:rPr>
          <w:rFonts w:ascii="Calibri" w:hAnsi="Calibri" w:cs="Arial"/>
          <w:bCs/>
          <w:caps/>
          <w:color w:val="000000"/>
          <w:sz w:val="28"/>
          <w:szCs w:val="32"/>
        </w:rPr>
        <w:t xml:space="preserve">IETEICAMĀ RĪCĪBA PĒC VALSTS APMAKSĀTA </w:t>
      </w:r>
    </w:p>
    <w:p w:rsidR="0056291E" w:rsidRPr="00A90F47" w:rsidRDefault="0056291E" w:rsidP="0056291E">
      <w:pPr>
        <w:jc w:val="center"/>
        <w:rPr>
          <w:rFonts w:ascii="Calibri" w:hAnsi="Calibri" w:cs="Arial"/>
          <w:b/>
          <w:bCs/>
          <w:caps/>
          <w:color w:val="C2D69B"/>
          <w:sz w:val="28"/>
          <w:szCs w:val="32"/>
        </w:rPr>
      </w:pPr>
      <w:r w:rsidRPr="00A90F47">
        <w:rPr>
          <w:rFonts w:ascii="Calibri" w:hAnsi="Calibri" w:cs="Arial"/>
          <w:b/>
          <w:bCs/>
          <w:caps/>
          <w:color w:val="9BBB59"/>
          <w:sz w:val="28"/>
          <w:szCs w:val="32"/>
        </w:rPr>
        <w:t xml:space="preserve">DZEMDES KAKLA PROFILAKTISKĀ IZMEKLĒJUMA VEIKŠANAS </w:t>
      </w:r>
    </w:p>
    <w:p w:rsidR="00592208" w:rsidRPr="00A90F47" w:rsidRDefault="0056291E" w:rsidP="00592208">
      <w:pPr>
        <w:jc w:val="center"/>
        <w:rPr>
          <w:rFonts w:ascii="Calibri" w:hAnsi="Calibri" w:cs="Arial"/>
          <w:bCs/>
          <w:caps/>
          <w:color w:val="000000"/>
          <w:sz w:val="28"/>
          <w:szCs w:val="32"/>
        </w:rPr>
      </w:pPr>
      <w:r w:rsidRPr="00A90F47">
        <w:rPr>
          <w:rFonts w:ascii="Calibri" w:hAnsi="Calibri" w:cs="Arial"/>
          <w:bCs/>
          <w:caps/>
          <w:color w:val="000000"/>
          <w:sz w:val="28"/>
          <w:szCs w:val="32"/>
        </w:rPr>
        <w:t>UN REZULTĀTU SAŅEMŠANAS</w:t>
      </w:r>
    </w:p>
    <w:p w:rsidR="00592208" w:rsidRPr="00A90F47" w:rsidRDefault="00592208" w:rsidP="00592208">
      <w:pPr>
        <w:jc w:val="center"/>
        <w:rPr>
          <w:rFonts w:ascii="Calibri" w:hAnsi="Calibri" w:cs="Arial"/>
          <w:bCs/>
          <w:caps/>
          <w:color w:val="000000"/>
          <w:sz w:val="16"/>
          <w:szCs w:val="16"/>
        </w:rPr>
      </w:pPr>
    </w:p>
    <w:p w:rsidR="00592208" w:rsidRPr="00592208" w:rsidRDefault="00592208" w:rsidP="00592208">
      <w:pPr>
        <w:ind w:left="-1134"/>
        <w:rPr>
          <w:rStyle w:val="Strong"/>
        </w:rPr>
      </w:pPr>
      <w:r w:rsidRPr="00592208">
        <w:rPr>
          <w:rStyle w:val="Strong"/>
        </w:rPr>
        <w:t>Citoloģisko rezult</w:t>
      </w:r>
      <w:r>
        <w:rPr>
          <w:rStyle w:val="Strong"/>
        </w:rPr>
        <w:t>ātu klas</w:t>
      </w:r>
      <w:r w:rsidRPr="00592208">
        <w:rPr>
          <w:rStyle w:val="Strong"/>
        </w:rPr>
        <w:t>ifik</w:t>
      </w:r>
      <w:r w:rsidR="0050497F">
        <w:rPr>
          <w:rStyle w:val="Strong"/>
        </w:rPr>
        <w:t>ācija no 2019</w:t>
      </w:r>
      <w:r>
        <w:rPr>
          <w:rStyle w:val="Strong"/>
        </w:rPr>
        <w:t>.  gada 1. j</w:t>
      </w:r>
      <w:r w:rsidRPr="00592208">
        <w:rPr>
          <w:rStyle w:val="Strong"/>
        </w:rPr>
        <w:t>anvāra</w:t>
      </w:r>
    </w:p>
    <w:tbl>
      <w:tblPr>
        <w:tblW w:w="6202" w:type="pct"/>
        <w:tblCellSpacing w:w="15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6"/>
        <w:gridCol w:w="2181"/>
        <w:gridCol w:w="8010"/>
      </w:tblGrid>
      <w:tr w:rsidR="00BB693D" w:rsidRPr="0056291E" w:rsidTr="00A90F47">
        <w:trPr>
          <w:trHeight w:val="669"/>
          <w:tblCellSpacing w:w="15" w:type="dxa"/>
        </w:trPr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  <w:hideMark/>
          </w:tcPr>
          <w:p w:rsidR="005A233D" w:rsidRPr="00A90F47" w:rsidRDefault="005A233D" w:rsidP="0056291E">
            <w:pPr>
              <w:pStyle w:val="tvhtml"/>
              <w:ind w:left="38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Citoloģiskais rezultāts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  <w:hideMark/>
          </w:tcPr>
          <w:p w:rsidR="005A233D" w:rsidRPr="00A90F47" w:rsidRDefault="0056291E" w:rsidP="0056291E">
            <w:pPr>
              <w:pStyle w:val="tvhtml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Rīcība pēc rezultāta saņemšanas</w:t>
            </w:r>
          </w:p>
        </w:tc>
      </w:tr>
      <w:tr w:rsidR="00BB693D" w:rsidRPr="0056291E" w:rsidTr="00D72781">
        <w:trPr>
          <w:trHeight w:val="342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33D" w:rsidRPr="00A90F47" w:rsidRDefault="004566D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A0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33D" w:rsidRPr="00A90F47" w:rsidRDefault="005A233D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Testēšana bez rezultāta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33D" w:rsidRPr="00A90F47" w:rsidRDefault="0056291E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Tests ir jāatkārto pēc trīs mēnešiem.</w:t>
            </w:r>
            <w:r w:rsidR="00295F7D" w:rsidRPr="00A90F47">
              <w:rPr>
                <w:rFonts w:ascii="Calibri" w:hAnsi="Calibri" w:cs="Arial"/>
              </w:rPr>
              <w:t xml:space="preserve"> </w:t>
            </w:r>
            <w:r w:rsidR="008404DC">
              <w:rPr>
                <w:rFonts w:ascii="Calibri" w:hAnsi="Calibri" w:cs="Arial"/>
              </w:rPr>
              <w:t xml:space="preserve">Ja rezultātu nevar nolasīt, </w:t>
            </w:r>
            <w:r w:rsidR="008404DC" w:rsidRPr="00A90F47">
              <w:rPr>
                <w:rFonts w:ascii="Calibri" w:hAnsi="Calibri" w:cs="Arial"/>
                <w:b/>
              </w:rPr>
              <w:t>ginekologs vai ģimenes ārsts nosūta pacientu uz kolposkopiju</w:t>
            </w:r>
            <w:r w:rsidR="008404DC">
              <w:rPr>
                <w:rFonts w:ascii="Calibri" w:hAnsi="Calibri" w:cs="Arial"/>
                <w:b/>
              </w:rPr>
              <w:t>.</w:t>
            </w:r>
          </w:p>
        </w:tc>
      </w:tr>
      <w:tr w:rsidR="00BB693D" w:rsidRPr="0056291E" w:rsidTr="00D72781">
        <w:trPr>
          <w:trHeight w:val="678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5F7D" w:rsidRPr="00A90F47" w:rsidRDefault="004566D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</w:t>
            </w:r>
            <w:r w:rsidR="00295F7D" w:rsidRPr="00A90F47">
              <w:rPr>
                <w:rFonts w:ascii="Calibri" w:hAnsi="Calibri" w:cs="Arial"/>
              </w:rPr>
              <w:t>1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5F7D" w:rsidRPr="00A90F47" w:rsidRDefault="00295F7D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Norma, nav atrasts intraepiteliāls bojājums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5F7D" w:rsidRPr="00A90F47" w:rsidRDefault="0050497F" w:rsidP="00377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Turpmākie izmeklējumi nav</w:t>
            </w:r>
            <w:r w:rsidR="008404DC">
              <w:rPr>
                <w:rFonts w:ascii="Calibri" w:hAnsi="Calibri" w:cs="Arial"/>
              </w:rPr>
              <w:t xml:space="preserve"> nepieciešami. </w:t>
            </w:r>
            <w:r w:rsidR="0056291E" w:rsidRPr="00A90F47">
              <w:rPr>
                <w:rFonts w:ascii="Calibri" w:hAnsi="Calibri" w:cs="Arial"/>
              </w:rPr>
              <w:t>Nākamā profilaktiskā pārbaude jāveic pēc nākamas uzaicinājuma vēstules saņemšanas.</w:t>
            </w:r>
          </w:p>
        </w:tc>
      </w:tr>
      <w:tr w:rsidR="00BB693D" w:rsidRPr="0056291E" w:rsidTr="005D70FB">
        <w:trPr>
          <w:trHeight w:val="1862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33D" w:rsidRPr="00A90F47" w:rsidRDefault="004566D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</w:t>
            </w:r>
            <w:r w:rsidR="005A233D" w:rsidRPr="00A90F47">
              <w:rPr>
                <w:rFonts w:ascii="Calibri" w:hAnsi="Calibri" w:cs="Arial"/>
              </w:rPr>
              <w:t>2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33D" w:rsidRPr="00A90F47" w:rsidRDefault="00EE6BB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ASC-US: neskaidras nozīmes daudzkārtainā plakanā (skvamozā) epitēlija šūnu atipiskās izmaiņas</w:t>
            </w:r>
          </w:p>
          <w:p w:rsidR="00EE6BB1" w:rsidRPr="00A90F47" w:rsidRDefault="00EE6BB1">
            <w:pPr>
              <w:rPr>
                <w:rFonts w:ascii="Calibri" w:hAnsi="Calibri" w:cs="Arial"/>
              </w:rPr>
            </w:pP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233D" w:rsidRPr="00A90F47" w:rsidRDefault="00D50401" w:rsidP="0050497F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>G</w:t>
            </w:r>
            <w:r w:rsidR="00295F7D" w:rsidRPr="00A90F47">
              <w:rPr>
                <w:rFonts w:ascii="Calibri" w:hAnsi="Calibri" w:cs="Arial"/>
                <w:b/>
              </w:rPr>
              <w:t>inekolog</w:t>
            </w:r>
            <w:r w:rsidR="0056291E" w:rsidRPr="00A90F47">
              <w:rPr>
                <w:rFonts w:ascii="Calibri" w:hAnsi="Calibri" w:cs="Arial"/>
                <w:b/>
              </w:rPr>
              <w:t>s</w:t>
            </w:r>
            <w:r w:rsidRPr="00A90F47">
              <w:rPr>
                <w:rFonts w:ascii="Calibri" w:hAnsi="Calibri" w:cs="Arial"/>
                <w:b/>
              </w:rPr>
              <w:t xml:space="preserve"> vai ģimenes ārsts </w:t>
            </w:r>
            <w:r w:rsidR="0050497F">
              <w:rPr>
                <w:rFonts w:ascii="Calibri" w:hAnsi="Calibri" w:cs="Arial"/>
                <w:b/>
              </w:rPr>
              <w:t>nozīmē</w:t>
            </w:r>
            <w:r w:rsidR="00CA7D60">
              <w:rPr>
                <w:rFonts w:ascii="Calibri" w:hAnsi="Calibri" w:cs="Arial"/>
                <w:b/>
              </w:rPr>
              <w:t xml:space="preserve"> veikt</w:t>
            </w:r>
            <w:r w:rsidR="0050497F">
              <w:rPr>
                <w:rFonts w:ascii="Calibri" w:hAnsi="Calibri" w:cs="Arial"/>
                <w:b/>
              </w:rPr>
              <w:t xml:space="preserve"> cilvēka papilomas vīrusa (CPV) noteik</w:t>
            </w:r>
            <w:r w:rsidR="00CA7D60">
              <w:rPr>
                <w:rFonts w:ascii="Calibri" w:hAnsi="Calibri" w:cs="Arial"/>
                <w:b/>
              </w:rPr>
              <w:t>šanas testu</w:t>
            </w:r>
            <w:r w:rsidR="009735BB">
              <w:rPr>
                <w:rFonts w:ascii="Calibri" w:hAnsi="Calibri" w:cs="Arial"/>
                <w:b/>
              </w:rPr>
              <w:t xml:space="preserve">. </w:t>
            </w:r>
            <w:r w:rsidR="0050497F">
              <w:rPr>
                <w:rFonts w:ascii="Calibri" w:hAnsi="Calibri" w:cs="Arial"/>
              </w:rPr>
              <w:t>Ja</w:t>
            </w:r>
            <w:r w:rsidR="0050497F" w:rsidRPr="0050497F">
              <w:rPr>
                <w:rFonts w:ascii="Calibri" w:hAnsi="Calibri" w:cs="Arial"/>
              </w:rPr>
              <w:t xml:space="preserve"> testa rezultāts</w:t>
            </w:r>
            <w:r w:rsidR="00CA7D60">
              <w:rPr>
                <w:rFonts w:ascii="Calibri" w:hAnsi="Calibri" w:cs="Arial"/>
              </w:rPr>
              <w:t xml:space="preserve"> ir pozitīvs</w:t>
            </w:r>
            <w:r w:rsidR="0050497F" w:rsidRPr="0050497F">
              <w:rPr>
                <w:rFonts w:ascii="Calibri" w:hAnsi="Calibri" w:cs="Arial"/>
              </w:rPr>
              <w:t>,</w:t>
            </w:r>
            <w:r w:rsidR="00CA7D60">
              <w:rPr>
                <w:rFonts w:ascii="Calibri" w:hAnsi="Calibri" w:cs="Arial"/>
              </w:rPr>
              <w:t xml:space="preserve"> nosūta pie speciālista veikt kolposkopiju</w:t>
            </w:r>
            <w:r w:rsidR="00CA7D60" w:rsidRPr="00CA7D60">
              <w:rPr>
                <w:rFonts w:ascii="Calibri" w:hAnsi="Calibri" w:cs="Arial"/>
              </w:rPr>
              <w:t xml:space="preserve">, lai veiktu mērķbiopsiju </w:t>
            </w:r>
            <w:r w:rsidR="0050497F" w:rsidRPr="0050497F">
              <w:rPr>
                <w:rFonts w:ascii="Calibri" w:hAnsi="Calibri" w:cs="Arial"/>
              </w:rPr>
              <w:t>un par tālāko izmeklējumu taktiku</w:t>
            </w:r>
            <w:r w:rsidR="00CA7D60">
              <w:rPr>
                <w:rFonts w:ascii="Calibri" w:hAnsi="Calibri" w:cs="Arial"/>
              </w:rPr>
              <w:t xml:space="preserve"> lemj kolposkopijas speciālists. Ja </w:t>
            </w:r>
            <w:r w:rsidR="0050497F" w:rsidRPr="0050497F">
              <w:rPr>
                <w:rFonts w:ascii="Calibri" w:hAnsi="Calibri" w:cs="Arial"/>
              </w:rPr>
              <w:t>testa rezultāts</w:t>
            </w:r>
            <w:r w:rsidR="00CA7D60">
              <w:rPr>
                <w:rFonts w:ascii="Calibri" w:hAnsi="Calibri" w:cs="Arial"/>
              </w:rPr>
              <w:t xml:space="preserve"> ir negatīvs</w:t>
            </w:r>
            <w:r w:rsidR="0050497F" w:rsidRPr="0050497F">
              <w:rPr>
                <w:rFonts w:ascii="Calibri" w:hAnsi="Calibri" w:cs="Arial"/>
              </w:rPr>
              <w:t>, turpmākie izmeklējumi nav nepieciešami</w:t>
            </w:r>
            <w:r w:rsidR="00CA7D60">
              <w:rPr>
                <w:rFonts w:ascii="Calibri" w:hAnsi="Calibri" w:cs="Arial"/>
              </w:rPr>
              <w:t xml:space="preserve">. </w:t>
            </w:r>
            <w:r w:rsidRPr="00A90F47">
              <w:rPr>
                <w:rFonts w:ascii="Calibri" w:hAnsi="Calibri" w:cs="Arial"/>
              </w:rPr>
              <w:t xml:space="preserve">Nosūtījumā tiek </w:t>
            </w:r>
            <w:r w:rsidR="0056291E" w:rsidRPr="00A90F47">
              <w:rPr>
                <w:rFonts w:ascii="Calibri" w:hAnsi="Calibri" w:cs="Arial"/>
              </w:rPr>
              <w:t>norādīta</w:t>
            </w:r>
            <w:r w:rsidRPr="00A90F47">
              <w:rPr>
                <w:rFonts w:ascii="Calibri" w:hAnsi="Calibri" w:cs="Arial"/>
              </w:rPr>
              <w:t xml:space="preserve"> informācija, ka izmeklējumi nepieciešami pēc veiktās dzemdes kakla profilaktiskās  pārbaudes.</w:t>
            </w:r>
          </w:p>
        </w:tc>
      </w:tr>
      <w:tr w:rsidR="00D50401" w:rsidRPr="0056291E" w:rsidTr="00D72781">
        <w:trPr>
          <w:trHeight w:val="358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4566D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</w:t>
            </w:r>
            <w:r w:rsidR="00D50401" w:rsidRPr="00A90F47">
              <w:rPr>
                <w:rFonts w:ascii="Calibri" w:hAnsi="Calibri" w:cs="Arial"/>
              </w:rPr>
              <w:t>3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D50401" w:rsidP="00EE6BB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LSIL: viegla displāzija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CA7D60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 xml:space="preserve">Ginekologs vai ģimenes ārsts </w:t>
            </w:r>
            <w:r>
              <w:rPr>
                <w:rFonts w:ascii="Calibri" w:hAnsi="Calibri" w:cs="Arial"/>
                <w:b/>
              </w:rPr>
              <w:t xml:space="preserve">nozīmē veikt cilvēka papilomas vīrusa (CPV) noteikšanas testu. </w:t>
            </w:r>
            <w:r>
              <w:rPr>
                <w:rFonts w:ascii="Calibri" w:hAnsi="Calibri" w:cs="Arial"/>
              </w:rPr>
              <w:t>Ja</w:t>
            </w:r>
            <w:r w:rsidRPr="0050497F">
              <w:rPr>
                <w:rFonts w:ascii="Calibri" w:hAnsi="Calibri" w:cs="Arial"/>
              </w:rPr>
              <w:t xml:space="preserve"> testa rezultāts</w:t>
            </w:r>
            <w:r>
              <w:rPr>
                <w:rFonts w:ascii="Calibri" w:hAnsi="Calibri" w:cs="Arial"/>
              </w:rPr>
              <w:t xml:space="preserve"> ir pozitīvs</w:t>
            </w:r>
            <w:r w:rsidRPr="0050497F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nosūta pie speciālista veikt kolposkopiju</w:t>
            </w:r>
            <w:r w:rsidRPr="00CA7D60">
              <w:rPr>
                <w:rFonts w:ascii="Calibri" w:hAnsi="Calibri" w:cs="Arial"/>
              </w:rPr>
              <w:t xml:space="preserve">, lai veiktu mērķbiopsiju </w:t>
            </w:r>
            <w:r w:rsidRPr="0050497F">
              <w:rPr>
                <w:rFonts w:ascii="Calibri" w:hAnsi="Calibri" w:cs="Arial"/>
              </w:rPr>
              <w:t>un par tālāko izmeklējumu taktiku</w:t>
            </w:r>
            <w:r>
              <w:rPr>
                <w:rFonts w:ascii="Calibri" w:hAnsi="Calibri" w:cs="Arial"/>
              </w:rPr>
              <w:t xml:space="preserve"> lemj kolposkopijas speciālists. Ja </w:t>
            </w:r>
            <w:r w:rsidRPr="0050497F">
              <w:rPr>
                <w:rFonts w:ascii="Calibri" w:hAnsi="Calibri" w:cs="Arial"/>
              </w:rPr>
              <w:t>testa rezultāts</w:t>
            </w:r>
            <w:r>
              <w:rPr>
                <w:rFonts w:ascii="Calibri" w:hAnsi="Calibri" w:cs="Arial"/>
              </w:rPr>
              <w:t xml:space="preserve"> ir negatīvs</w:t>
            </w:r>
            <w:r w:rsidRPr="0050497F">
              <w:rPr>
                <w:rFonts w:ascii="Calibri" w:hAnsi="Calibri" w:cs="Arial"/>
              </w:rPr>
              <w:t>, turpmākie izmeklējumi nav nepieciešami</w:t>
            </w:r>
            <w:r>
              <w:rPr>
                <w:rFonts w:ascii="Calibri" w:hAnsi="Calibri" w:cs="Arial"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D72781" w:rsidRPr="0056291E" w:rsidTr="00D72781">
        <w:trPr>
          <w:trHeight w:val="917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781" w:rsidRPr="00A90F47" w:rsidRDefault="00D72781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A4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2781" w:rsidRPr="00A90F47" w:rsidRDefault="00D72781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HSIL: vidēja/smaga displāzija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781" w:rsidRPr="00A90F47" w:rsidRDefault="00D72781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Pēc rezultāta izvērtēšanas </w:t>
            </w:r>
            <w:r w:rsidRPr="00A90F47">
              <w:rPr>
                <w:rFonts w:ascii="Calibri" w:hAnsi="Calibri" w:cs="Arial"/>
                <w:b/>
              </w:rPr>
              <w:t>ginekologs vai ģimenes ārsts nosūta pacientu uz kolposkopiju,</w:t>
            </w:r>
            <w:r w:rsidRPr="00A90F47">
              <w:rPr>
                <w:rFonts w:ascii="Calibri" w:hAnsi="Calibri" w:cs="Arial"/>
              </w:rPr>
              <w:t xml:space="preserve">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D50401" w:rsidRPr="0056291E" w:rsidTr="00D72781">
        <w:trPr>
          <w:trHeight w:val="917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4566D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</w:t>
            </w:r>
            <w:r w:rsidR="00D72781" w:rsidRPr="00A90F47">
              <w:rPr>
                <w:rFonts w:ascii="Calibri" w:hAnsi="Calibri" w:cs="Arial"/>
              </w:rPr>
              <w:t>5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D7278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AGUS: neskaidras nozīmes glandulārā apitēlija šūnu atipiskas izmaiņas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401" w:rsidRPr="00A90F47" w:rsidRDefault="00CA7D60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 xml:space="preserve">Ginekologs vai ģimenes ārsts </w:t>
            </w:r>
            <w:r>
              <w:rPr>
                <w:rFonts w:ascii="Calibri" w:hAnsi="Calibri" w:cs="Arial"/>
                <w:b/>
              </w:rPr>
              <w:t xml:space="preserve">nozīmē veikt cilvēka papilomas vīrusa (CPV) noteikšanas testu. </w:t>
            </w:r>
            <w:r>
              <w:rPr>
                <w:rFonts w:ascii="Calibri" w:hAnsi="Calibri" w:cs="Arial"/>
              </w:rPr>
              <w:t>Ja</w:t>
            </w:r>
            <w:r w:rsidRPr="0050497F">
              <w:rPr>
                <w:rFonts w:ascii="Calibri" w:hAnsi="Calibri" w:cs="Arial"/>
              </w:rPr>
              <w:t xml:space="preserve"> testa rezultāts</w:t>
            </w:r>
            <w:r>
              <w:rPr>
                <w:rFonts w:ascii="Calibri" w:hAnsi="Calibri" w:cs="Arial"/>
              </w:rPr>
              <w:t xml:space="preserve"> ir pozitīvs</w:t>
            </w:r>
            <w:r w:rsidRPr="0050497F">
              <w:rPr>
                <w:rFonts w:ascii="Calibri" w:hAnsi="Calibri" w:cs="Arial"/>
              </w:rPr>
              <w:t>,</w:t>
            </w:r>
            <w:r>
              <w:rPr>
                <w:rFonts w:ascii="Calibri" w:hAnsi="Calibri" w:cs="Arial"/>
              </w:rPr>
              <w:t xml:space="preserve"> nosūta pie speciālista veikt kolposkopiju</w:t>
            </w:r>
            <w:r w:rsidRPr="00CA7D60">
              <w:rPr>
                <w:rFonts w:ascii="Calibri" w:hAnsi="Calibri" w:cs="Arial"/>
              </w:rPr>
              <w:t xml:space="preserve">, lai veiktu mērķbiopsiju </w:t>
            </w:r>
            <w:r w:rsidRPr="0050497F">
              <w:rPr>
                <w:rFonts w:ascii="Calibri" w:hAnsi="Calibri" w:cs="Arial"/>
              </w:rPr>
              <w:t>un par tālāko izmeklējumu taktiku</w:t>
            </w:r>
            <w:r>
              <w:rPr>
                <w:rFonts w:ascii="Calibri" w:hAnsi="Calibri" w:cs="Arial"/>
              </w:rPr>
              <w:t xml:space="preserve"> lemj kolposkopijas speciālists. Ja </w:t>
            </w:r>
            <w:r w:rsidRPr="0050497F">
              <w:rPr>
                <w:rFonts w:ascii="Calibri" w:hAnsi="Calibri" w:cs="Arial"/>
              </w:rPr>
              <w:t>testa rezultāts</w:t>
            </w:r>
            <w:r>
              <w:rPr>
                <w:rFonts w:ascii="Calibri" w:hAnsi="Calibri" w:cs="Arial"/>
              </w:rPr>
              <w:t xml:space="preserve"> ir negatīvs</w:t>
            </w:r>
            <w:r w:rsidRPr="0050497F">
              <w:rPr>
                <w:rFonts w:ascii="Calibri" w:hAnsi="Calibri" w:cs="Arial"/>
              </w:rPr>
              <w:t>, turpmākie izmeklējumi nav nepieciešami</w:t>
            </w:r>
            <w:r>
              <w:rPr>
                <w:rFonts w:ascii="Calibri" w:hAnsi="Calibri" w:cs="Arial"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D50401" w:rsidRPr="0056291E" w:rsidTr="00D72781">
        <w:trPr>
          <w:trHeight w:val="855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D7278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A6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D5040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Malignizācijas pazīmes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077264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>Ginekologs</w:t>
            </w:r>
            <w:r w:rsidR="0056291E" w:rsidRPr="00A90F47">
              <w:rPr>
                <w:rFonts w:ascii="Calibri" w:hAnsi="Calibri" w:cs="Arial"/>
                <w:b/>
              </w:rPr>
              <w:t xml:space="preserve"> vai</w:t>
            </w:r>
            <w:r w:rsidRPr="00A90F47">
              <w:rPr>
                <w:rFonts w:ascii="Calibri" w:hAnsi="Calibri" w:cs="Arial"/>
                <w:b/>
              </w:rPr>
              <w:t xml:space="preserve"> ģimenes ārsts n</w:t>
            </w:r>
            <w:r w:rsidR="00D50401" w:rsidRPr="00A90F47">
              <w:rPr>
                <w:rFonts w:ascii="Calibri" w:hAnsi="Calibri" w:cs="Arial"/>
                <w:b/>
              </w:rPr>
              <w:t>osūta konsultācijai pie onkoloģijas ginekologa</w:t>
            </w:r>
            <w:r w:rsidRPr="00A90F47">
              <w:rPr>
                <w:rFonts w:ascii="Calibri" w:hAnsi="Calibri" w:cs="Arial"/>
              </w:rPr>
              <w:t xml:space="preserve">. Nosūtījumā tiek </w:t>
            </w:r>
            <w:r w:rsidR="0056291E" w:rsidRPr="00A90F47">
              <w:rPr>
                <w:rFonts w:ascii="Calibri" w:hAnsi="Calibri" w:cs="Arial"/>
              </w:rPr>
              <w:t>norādīta</w:t>
            </w:r>
            <w:r w:rsidRPr="00A90F47">
              <w:rPr>
                <w:rFonts w:ascii="Calibri" w:hAnsi="Calibri" w:cs="Arial"/>
              </w:rPr>
              <w:t xml:space="preserve"> informācija, ka izmeklējumi nepieciešami pēc veiktās dzemdes kakla profilaktiskās  pārbaudes</w:t>
            </w:r>
            <w:r w:rsidR="00D50401" w:rsidRPr="00A90F47">
              <w:rPr>
                <w:rFonts w:ascii="Calibri" w:hAnsi="Calibri" w:cs="Arial"/>
              </w:rPr>
              <w:t>.</w:t>
            </w:r>
          </w:p>
        </w:tc>
      </w:tr>
      <w:tr w:rsidR="00D50401" w:rsidRPr="0056291E" w:rsidTr="00D72781">
        <w:trPr>
          <w:trHeight w:val="149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D7278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A7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D50401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Saplīsis stikliņš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0401" w:rsidRPr="00A90F47" w:rsidRDefault="0056291E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Tests ir jāatkārto pēc trīs mēnešiem. </w:t>
            </w:r>
          </w:p>
        </w:tc>
      </w:tr>
    </w:tbl>
    <w:p w:rsidR="00592208" w:rsidRPr="00A90F47" w:rsidRDefault="00592208" w:rsidP="00B42787">
      <w:pPr>
        <w:rPr>
          <w:rStyle w:val="Strong"/>
          <w:rFonts w:ascii="Calibri" w:hAnsi="Calibri" w:cs="Arial"/>
          <w:caps/>
          <w:color w:val="4F6228"/>
          <w:sz w:val="18"/>
          <w:szCs w:val="18"/>
        </w:rPr>
      </w:pPr>
    </w:p>
    <w:p w:rsidR="00CA7D60" w:rsidRDefault="0043626F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  <w:r w:rsidRPr="00A90F47">
        <w:rPr>
          <w:rStyle w:val="Strong"/>
          <w:rFonts w:ascii="Calibri" w:hAnsi="Calibri" w:cs="Arial"/>
          <w:caps/>
          <w:color w:val="4F6228"/>
          <w:sz w:val="32"/>
          <w:szCs w:val="32"/>
        </w:rPr>
        <w:t xml:space="preserve"> </w:t>
      </w:r>
    </w:p>
    <w:p w:rsidR="00CA7D60" w:rsidRDefault="00CA7D60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</w:p>
    <w:p w:rsidR="00CA7D60" w:rsidRDefault="00CA7D60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</w:p>
    <w:p w:rsidR="00CA7D60" w:rsidRDefault="00CA7D60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</w:p>
    <w:p w:rsidR="00CA7D60" w:rsidRDefault="00CA7D60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</w:p>
    <w:p w:rsidR="00CA7D60" w:rsidRDefault="00CA7D60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</w:p>
    <w:p w:rsidR="00CA7D60" w:rsidRDefault="00CA7D60" w:rsidP="0056291E">
      <w:pPr>
        <w:jc w:val="center"/>
        <w:rPr>
          <w:rStyle w:val="Strong"/>
          <w:rFonts w:ascii="Calibri" w:hAnsi="Calibri" w:cs="Arial"/>
          <w:caps/>
          <w:color w:val="4F6228"/>
          <w:sz w:val="32"/>
          <w:szCs w:val="32"/>
        </w:rPr>
      </w:pPr>
    </w:p>
    <w:p w:rsidR="0056291E" w:rsidRPr="00A90F47" w:rsidRDefault="0056291E" w:rsidP="0056291E">
      <w:pPr>
        <w:jc w:val="center"/>
        <w:rPr>
          <w:rFonts w:ascii="Calibri" w:hAnsi="Calibri" w:cs="Arial"/>
          <w:bCs/>
          <w:caps/>
          <w:color w:val="000000"/>
          <w:sz w:val="28"/>
          <w:szCs w:val="32"/>
        </w:rPr>
      </w:pPr>
      <w:bookmarkStart w:id="0" w:name="_GoBack"/>
      <w:bookmarkEnd w:id="0"/>
      <w:r w:rsidRPr="00A90F47">
        <w:rPr>
          <w:rFonts w:ascii="Calibri" w:hAnsi="Calibri" w:cs="Arial"/>
          <w:bCs/>
          <w:caps/>
          <w:color w:val="000000"/>
          <w:sz w:val="28"/>
          <w:szCs w:val="32"/>
        </w:rPr>
        <w:t xml:space="preserve">Ārstniecības iestādes, kas nodrošina </w:t>
      </w:r>
    </w:p>
    <w:p w:rsidR="0056291E" w:rsidRPr="00A90F47" w:rsidRDefault="0056291E" w:rsidP="0056291E">
      <w:pPr>
        <w:jc w:val="center"/>
        <w:rPr>
          <w:rFonts w:ascii="Calibri" w:hAnsi="Calibri" w:cs="Arial"/>
          <w:b/>
          <w:bCs/>
          <w:caps/>
          <w:color w:val="9BBB59"/>
          <w:sz w:val="28"/>
          <w:szCs w:val="32"/>
        </w:rPr>
      </w:pPr>
      <w:r w:rsidRPr="00A90F47">
        <w:rPr>
          <w:rFonts w:ascii="Calibri" w:hAnsi="Calibri" w:cs="Arial"/>
          <w:b/>
          <w:bCs/>
          <w:caps/>
          <w:color w:val="9BBB59"/>
          <w:sz w:val="28"/>
          <w:szCs w:val="32"/>
        </w:rPr>
        <w:t xml:space="preserve">pēc DZEMDES KAKLA skrīninga izmeklējumus </w:t>
      </w:r>
    </w:p>
    <w:p w:rsidR="00BE3882" w:rsidRPr="00A90F47" w:rsidRDefault="0056291E" w:rsidP="00592208">
      <w:pPr>
        <w:jc w:val="center"/>
        <w:rPr>
          <w:rFonts w:ascii="Calibri" w:hAnsi="Calibri" w:cs="Arial"/>
          <w:bCs/>
          <w:caps/>
          <w:color w:val="000000"/>
          <w:sz w:val="28"/>
          <w:szCs w:val="32"/>
        </w:rPr>
      </w:pPr>
      <w:r w:rsidRPr="00A90F47">
        <w:rPr>
          <w:rFonts w:ascii="Calibri" w:hAnsi="Calibri" w:cs="Arial"/>
          <w:bCs/>
          <w:caps/>
          <w:color w:val="000000"/>
          <w:sz w:val="28"/>
          <w:szCs w:val="32"/>
        </w:rPr>
        <w:t>pacientiem ar nosūtījumu</w:t>
      </w:r>
      <w:r w:rsidRPr="00A90F47">
        <w:rPr>
          <w:rFonts w:ascii="Calibri" w:hAnsi="Calibri" w:cs="Arial"/>
          <w:b/>
          <w:color w:val="000000"/>
          <w:sz w:val="22"/>
        </w:rPr>
        <w:t xml:space="preserve"> </w:t>
      </w:r>
    </w:p>
    <w:tbl>
      <w:tblPr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2"/>
        <w:gridCol w:w="5157"/>
      </w:tblGrid>
      <w:tr w:rsidR="00654E78" w:rsidRPr="0056291E" w:rsidTr="009735BB">
        <w:trPr>
          <w:trHeight w:val="606"/>
          <w:jc w:val="center"/>
        </w:trPr>
        <w:tc>
          <w:tcPr>
            <w:tcW w:w="5342" w:type="dxa"/>
            <w:shd w:val="clear" w:color="auto" w:fill="D6E3BC"/>
            <w:vAlign w:val="center"/>
          </w:tcPr>
          <w:p w:rsidR="00654E78" w:rsidRPr="00A90F47" w:rsidRDefault="00654E78" w:rsidP="00636FB8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Ārstniecības iestādes nosaukums</w:t>
            </w:r>
          </w:p>
        </w:tc>
        <w:tc>
          <w:tcPr>
            <w:tcW w:w="5157" w:type="dxa"/>
            <w:shd w:val="clear" w:color="auto" w:fill="D6E3BC"/>
            <w:vAlign w:val="center"/>
          </w:tcPr>
          <w:p w:rsidR="00654E78" w:rsidRPr="00A90F47" w:rsidRDefault="0056291E" w:rsidP="00636FB8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Kontaktinformācija</w:t>
            </w:r>
          </w:p>
        </w:tc>
      </w:tr>
      <w:tr w:rsidR="00654E78" w:rsidRPr="0056291E" w:rsidTr="009735BB">
        <w:trPr>
          <w:trHeight w:val="714"/>
          <w:jc w:val="center"/>
        </w:trPr>
        <w:tc>
          <w:tcPr>
            <w:tcW w:w="5342" w:type="dxa"/>
            <w:shd w:val="clear" w:color="auto" w:fill="auto"/>
            <w:vAlign w:val="center"/>
          </w:tcPr>
          <w:p w:rsidR="00654E78" w:rsidRPr="00A90F47" w:rsidRDefault="003771D2" w:rsidP="00636FB8">
            <w:pPr>
              <w:rPr>
                <w:rFonts w:ascii="Calibri" w:hAnsi="Calibri" w:cs="Arial"/>
                <w:i/>
              </w:rPr>
            </w:pPr>
            <w:r>
              <w:rPr>
                <w:rFonts w:ascii="Calibri" w:hAnsi="Calibri" w:cs="Arial"/>
              </w:rPr>
              <w:t>SIA “</w:t>
            </w:r>
            <w:r w:rsidR="00654E78" w:rsidRPr="00A90F47">
              <w:rPr>
                <w:rFonts w:ascii="Calibri" w:hAnsi="Calibri" w:cs="Arial"/>
              </w:rPr>
              <w:t>Rīgas Austrumu klīniskā universitātes slimnīca</w:t>
            </w:r>
            <w:r w:rsidR="00654E78" w:rsidRPr="00A90F47">
              <w:rPr>
                <w:rFonts w:ascii="Calibri" w:hAnsi="Calibri" w:cs="Arial"/>
                <w:i/>
              </w:rPr>
              <w:t>"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654E78" w:rsidRPr="00A90F47" w:rsidRDefault="00654E78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H</w:t>
            </w:r>
            <w:r w:rsidR="003771D2">
              <w:rPr>
                <w:rFonts w:ascii="Calibri" w:hAnsi="Calibri" w:cs="Arial"/>
              </w:rPr>
              <w:t>ipokrāta iela 2, Rīga,  LV-1038,</w:t>
            </w:r>
            <w:r w:rsidRPr="00A90F47">
              <w:rPr>
                <w:rFonts w:ascii="Calibri" w:hAnsi="Calibri" w:cs="Arial"/>
              </w:rPr>
              <w:t xml:space="preserve"> </w:t>
            </w:r>
          </w:p>
          <w:p w:rsidR="00654E78" w:rsidRPr="00A90F47" w:rsidRDefault="003771D2" w:rsidP="003771D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</w:t>
            </w:r>
            <w:r w:rsidR="00654E78" w:rsidRPr="00A90F47">
              <w:rPr>
                <w:rFonts w:ascii="Calibri" w:hAnsi="Calibri" w:cs="Arial"/>
              </w:rPr>
              <w:t>ālr</w:t>
            </w:r>
            <w:r>
              <w:rPr>
                <w:rFonts w:ascii="Calibri" w:hAnsi="Calibri" w:cs="Arial"/>
              </w:rPr>
              <w:t>.</w:t>
            </w:r>
            <w:r w:rsidR="00654E78" w:rsidRPr="00A90F47">
              <w:rPr>
                <w:rFonts w:ascii="Calibri" w:hAnsi="Calibri" w:cs="Arial"/>
              </w:rPr>
              <w:t>:</w:t>
            </w:r>
            <w:r>
              <w:rPr>
                <w:rFonts w:ascii="Calibri" w:hAnsi="Calibri" w:cs="Arial"/>
              </w:rPr>
              <w:t xml:space="preserve"> </w:t>
            </w:r>
            <w:r w:rsidR="00654E78" w:rsidRPr="00A90F47">
              <w:rPr>
                <w:rFonts w:ascii="Calibri" w:hAnsi="Calibri" w:cs="Arial"/>
              </w:rPr>
              <w:t>67000610</w:t>
            </w:r>
          </w:p>
        </w:tc>
      </w:tr>
      <w:tr w:rsidR="00654E78" w:rsidRPr="0056291E" w:rsidTr="009735BB">
        <w:trPr>
          <w:trHeight w:val="898"/>
          <w:jc w:val="center"/>
        </w:trPr>
        <w:tc>
          <w:tcPr>
            <w:tcW w:w="5342" w:type="dxa"/>
            <w:shd w:val="clear" w:color="auto" w:fill="auto"/>
            <w:vAlign w:val="center"/>
          </w:tcPr>
          <w:p w:rsidR="00654E78" w:rsidRPr="00A90F47" w:rsidRDefault="003771D2" w:rsidP="00C761C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SIA “</w:t>
            </w:r>
            <w:r w:rsidR="00654E78" w:rsidRPr="00A90F47">
              <w:rPr>
                <w:rFonts w:ascii="Calibri" w:hAnsi="Calibri" w:cs="Arial"/>
              </w:rPr>
              <w:t>Daugavpils reģionālā slimnīca</w:t>
            </w:r>
            <w:r w:rsidR="00C761C9" w:rsidRPr="00A90F47">
              <w:rPr>
                <w:rFonts w:ascii="Calibri" w:hAnsi="Calibri" w:cs="Arial"/>
              </w:rPr>
              <w:t>”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654E78" w:rsidRPr="00A90F47" w:rsidRDefault="00654E78" w:rsidP="003771D2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Viestura iela 5, Daugavpils LV-5101, Centra poliklīnikas reģistratūra</w:t>
            </w:r>
            <w:r w:rsidR="003771D2">
              <w:rPr>
                <w:rFonts w:ascii="Calibri" w:hAnsi="Calibri" w:cs="Arial"/>
              </w:rPr>
              <w:t>, t</w:t>
            </w:r>
            <w:r w:rsidR="00882313" w:rsidRPr="00A90F47">
              <w:rPr>
                <w:rFonts w:ascii="Calibri" w:hAnsi="Calibri" w:cs="Arial"/>
              </w:rPr>
              <w:t>ālr</w:t>
            </w:r>
            <w:r w:rsidR="003771D2">
              <w:rPr>
                <w:rFonts w:ascii="Calibri" w:hAnsi="Calibri" w:cs="Arial"/>
              </w:rPr>
              <w:t>.</w:t>
            </w:r>
            <w:r w:rsidR="00882313" w:rsidRPr="00A90F47">
              <w:rPr>
                <w:rFonts w:ascii="Calibri" w:hAnsi="Calibri" w:cs="Arial"/>
              </w:rPr>
              <w:t>:</w:t>
            </w:r>
            <w:r w:rsidR="003771D2">
              <w:rPr>
                <w:rFonts w:ascii="Calibri" w:hAnsi="Calibri" w:cs="Arial"/>
              </w:rPr>
              <w:t xml:space="preserve"> </w:t>
            </w:r>
            <w:r w:rsidRPr="003771D2">
              <w:rPr>
                <w:rFonts w:ascii="Calibri" w:hAnsi="Calibri" w:cs="Arial"/>
              </w:rPr>
              <w:t>654</w:t>
            </w:r>
            <w:r w:rsidR="00D520A8" w:rsidRPr="003771D2">
              <w:rPr>
                <w:rFonts w:ascii="Calibri" w:hAnsi="Calibri" w:cs="Arial"/>
              </w:rPr>
              <w:t>22419</w:t>
            </w:r>
          </w:p>
        </w:tc>
      </w:tr>
      <w:tr w:rsidR="00654E78" w:rsidRPr="0056291E" w:rsidTr="009735BB">
        <w:trPr>
          <w:trHeight w:val="898"/>
          <w:jc w:val="center"/>
        </w:trPr>
        <w:tc>
          <w:tcPr>
            <w:tcW w:w="5342" w:type="dxa"/>
            <w:shd w:val="clear" w:color="auto" w:fill="auto"/>
            <w:vAlign w:val="center"/>
          </w:tcPr>
          <w:p w:rsidR="00654E78" w:rsidRPr="00A90F47" w:rsidRDefault="003771D2" w:rsidP="00A90F4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lastRenderedPageBreak/>
              <w:t>VSIA “</w:t>
            </w:r>
            <w:r w:rsidR="00A90F47" w:rsidRPr="00A90F47">
              <w:rPr>
                <w:rFonts w:ascii="Calibri" w:hAnsi="Calibri" w:cs="Arial"/>
              </w:rPr>
              <w:t>Liepājas reģionālā slimnīca</w:t>
            </w:r>
            <w:r w:rsidR="00C761C9" w:rsidRPr="00A90F47">
              <w:rPr>
                <w:rFonts w:ascii="Calibri" w:hAnsi="Calibri" w:cs="Arial"/>
              </w:rPr>
              <w:t>”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654E78" w:rsidRPr="00A90F47" w:rsidRDefault="00A90F47" w:rsidP="003771D2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/>
                <w:color w:val="000000"/>
              </w:rPr>
              <w:t>Slimnīcas iela 25, Liepāja, LV-3414</w:t>
            </w:r>
            <w:r w:rsidR="003771D2">
              <w:rPr>
                <w:rFonts w:ascii="Calibri" w:hAnsi="Calibri"/>
                <w:color w:val="000000"/>
              </w:rPr>
              <w:t>,</w:t>
            </w:r>
            <w:r w:rsidRPr="00A90F47">
              <w:rPr>
                <w:rFonts w:ascii="Calibri" w:hAnsi="Calibri"/>
                <w:color w:val="000000"/>
              </w:rPr>
              <w:t xml:space="preserve"> t</w:t>
            </w:r>
            <w:r w:rsidR="003771D2">
              <w:rPr>
                <w:rFonts w:ascii="Calibri" w:hAnsi="Calibri"/>
                <w:color w:val="000000"/>
              </w:rPr>
              <w:t>ālr</w:t>
            </w:r>
            <w:r w:rsidRPr="00A90F47">
              <w:rPr>
                <w:rFonts w:ascii="Calibri" w:hAnsi="Calibri"/>
                <w:color w:val="000000"/>
              </w:rPr>
              <w:t>.</w:t>
            </w:r>
            <w:r w:rsidR="003771D2">
              <w:rPr>
                <w:rFonts w:ascii="Calibri" w:hAnsi="Calibri"/>
                <w:color w:val="000000"/>
              </w:rPr>
              <w:t xml:space="preserve">: </w:t>
            </w:r>
            <w:r w:rsidRPr="00A90F47">
              <w:rPr>
                <w:rFonts w:ascii="Calibri" w:hAnsi="Calibri"/>
                <w:color w:val="000000"/>
              </w:rPr>
              <w:t>63403231; 63403264</w:t>
            </w:r>
          </w:p>
        </w:tc>
      </w:tr>
    </w:tbl>
    <w:p w:rsidR="006B7B2F" w:rsidRPr="00A90F47" w:rsidRDefault="006B7B2F">
      <w:pPr>
        <w:rPr>
          <w:rFonts w:ascii="Calibri" w:hAnsi="Calibri" w:cs="Arial"/>
          <w:b/>
          <w:bCs/>
          <w:sz w:val="28"/>
          <w:szCs w:val="28"/>
        </w:rPr>
      </w:pPr>
    </w:p>
    <w:p w:rsidR="00592208" w:rsidRPr="00A90F47" w:rsidRDefault="00592208">
      <w:pPr>
        <w:rPr>
          <w:rFonts w:ascii="Calibri" w:hAnsi="Calibri" w:cs="Arial"/>
          <w:b/>
          <w:bCs/>
          <w:sz w:val="28"/>
          <w:szCs w:val="28"/>
        </w:rPr>
      </w:pPr>
    </w:p>
    <w:p w:rsidR="0050497F" w:rsidRPr="00592208" w:rsidRDefault="0050497F" w:rsidP="0050497F">
      <w:pPr>
        <w:ind w:left="-1134"/>
        <w:rPr>
          <w:rStyle w:val="Strong"/>
        </w:rPr>
      </w:pPr>
      <w:r w:rsidRPr="00592208">
        <w:rPr>
          <w:rStyle w:val="Strong"/>
        </w:rPr>
        <w:t>Citoloģisko rezult</w:t>
      </w:r>
      <w:r>
        <w:rPr>
          <w:rStyle w:val="Strong"/>
        </w:rPr>
        <w:t>ātu klas</w:t>
      </w:r>
      <w:r w:rsidRPr="00592208">
        <w:rPr>
          <w:rStyle w:val="Strong"/>
        </w:rPr>
        <w:t>ifik</w:t>
      </w:r>
      <w:r>
        <w:rPr>
          <w:rStyle w:val="Strong"/>
        </w:rPr>
        <w:t>ācija no 2015.  gada 1. j</w:t>
      </w:r>
      <w:r w:rsidRPr="00592208">
        <w:rPr>
          <w:rStyle w:val="Strong"/>
        </w:rPr>
        <w:t>anvāra</w:t>
      </w:r>
      <w:r>
        <w:rPr>
          <w:rStyle w:val="Strong"/>
        </w:rPr>
        <w:t xml:space="preserve"> līdz 2019. gada 1. janvārim</w:t>
      </w:r>
    </w:p>
    <w:tbl>
      <w:tblPr>
        <w:tblW w:w="6202" w:type="pct"/>
        <w:tblCellSpacing w:w="15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6"/>
        <w:gridCol w:w="2181"/>
        <w:gridCol w:w="8010"/>
      </w:tblGrid>
      <w:tr w:rsidR="0050497F" w:rsidRPr="0056291E" w:rsidTr="007B51C0">
        <w:trPr>
          <w:trHeight w:val="669"/>
          <w:tblCellSpacing w:w="15" w:type="dxa"/>
        </w:trPr>
        <w:tc>
          <w:tcPr>
            <w:tcW w:w="1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  <w:hideMark/>
          </w:tcPr>
          <w:p w:rsidR="0050497F" w:rsidRPr="00A90F47" w:rsidRDefault="0050497F" w:rsidP="007B51C0">
            <w:pPr>
              <w:pStyle w:val="tvhtml"/>
              <w:ind w:left="38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Citoloģiskais rezultāts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  <w:hideMark/>
          </w:tcPr>
          <w:p w:rsidR="0050497F" w:rsidRPr="00A90F47" w:rsidRDefault="0050497F" w:rsidP="007B51C0">
            <w:pPr>
              <w:pStyle w:val="tvhtml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Rīcība pēc rezultāta saņemšanas</w:t>
            </w:r>
          </w:p>
        </w:tc>
      </w:tr>
      <w:tr w:rsidR="0050497F" w:rsidRPr="0056291E" w:rsidTr="007B51C0">
        <w:trPr>
          <w:trHeight w:val="342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A0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Testēšana bez rezultāta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Tests ir jāatkārto pēc trīs mēnešiem. </w:t>
            </w:r>
            <w:r>
              <w:rPr>
                <w:rFonts w:ascii="Calibri" w:hAnsi="Calibri" w:cs="Arial"/>
              </w:rPr>
              <w:t xml:space="preserve">Ja rezultātu nevar nolasīt, </w:t>
            </w:r>
            <w:r w:rsidRPr="00A90F47">
              <w:rPr>
                <w:rFonts w:ascii="Calibri" w:hAnsi="Calibri" w:cs="Arial"/>
                <w:b/>
              </w:rPr>
              <w:t>ginekologs vai ģimenes ārsts nosūta pacientu uz kolposkopiju</w:t>
            </w:r>
            <w:r>
              <w:rPr>
                <w:rFonts w:ascii="Calibri" w:hAnsi="Calibri" w:cs="Arial"/>
                <w:b/>
              </w:rPr>
              <w:t>.</w:t>
            </w:r>
          </w:p>
        </w:tc>
      </w:tr>
      <w:tr w:rsidR="0050497F" w:rsidRPr="0056291E" w:rsidTr="007B51C0">
        <w:trPr>
          <w:trHeight w:val="678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A1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Norma, nav atrasts intraepiteliāls bojājums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Turpmākie izmeklējumi man nepieciešami. </w:t>
            </w:r>
            <w:r w:rsidRPr="00A90F47">
              <w:rPr>
                <w:rFonts w:ascii="Calibri" w:hAnsi="Calibri" w:cs="Arial"/>
              </w:rPr>
              <w:t>Nākamā profilaktiskā pārbaude jāveic pēc nākamas uzaicinājuma vēstules saņemšanas.</w:t>
            </w:r>
          </w:p>
        </w:tc>
      </w:tr>
      <w:tr w:rsidR="0050497F" w:rsidRPr="0056291E" w:rsidTr="007B51C0">
        <w:trPr>
          <w:trHeight w:val="1862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A2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ASC-US: neskaidras nozīmes daudzkārtainā plakanā (skvamozā) epitēlija šūnu atipiskās izmaiņas</w:t>
            </w:r>
          </w:p>
          <w:p w:rsidR="0050497F" w:rsidRPr="00A90F47" w:rsidRDefault="0050497F" w:rsidP="007B51C0">
            <w:pPr>
              <w:rPr>
                <w:rFonts w:ascii="Calibri" w:hAnsi="Calibri" w:cs="Arial"/>
              </w:rPr>
            </w:pP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>Ginekologs vai ģimenes ārsts nozīmē atkārtotu izmeklējumu</w:t>
            </w:r>
            <w:r>
              <w:rPr>
                <w:rFonts w:ascii="Calibri" w:hAnsi="Calibri" w:cs="Arial"/>
                <w:b/>
              </w:rPr>
              <w:t xml:space="preserve"> divas reizes ar sešu mēnešu intervālu. </w:t>
            </w:r>
            <w:r>
              <w:rPr>
                <w:rFonts w:ascii="Calibri" w:hAnsi="Calibri" w:cs="Arial"/>
              </w:rPr>
              <w:t xml:space="preserve">Pēc rezultātu izvērtēšanas </w:t>
            </w:r>
            <w:r w:rsidRPr="00A90F47">
              <w:rPr>
                <w:rFonts w:ascii="Calibri" w:hAnsi="Calibri" w:cs="Arial"/>
              </w:rPr>
              <w:t xml:space="preserve"> ģimenes ārsts vai ginekologs nosūta pacientu uz kolposkopiju,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0497F" w:rsidRPr="0056291E" w:rsidTr="007B51C0">
        <w:trPr>
          <w:trHeight w:val="358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A3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LSIL: viegla displāzija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Ginekologs</w:t>
            </w:r>
            <w:r w:rsidRPr="00A90F47">
              <w:rPr>
                <w:rFonts w:ascii="Calibri" w:hAnsi="Calibri" w:cs="Arial"/>
                <w:b/>
              </w:rPr>
              <w:t xml:space="preserve"> vai ģimenes ārsts nozīmē atkārtotu izmeklējumu pēc sešiem mēnešiem. </w:t>
            </w:r>
            <w:r w:rsidRPr="00A90F47">
              <w:rPr>
                <w:rFonts w:ascii="Calibri" w:hAnsi="Calibri" w:cs="Arial"/>
              </w:rPr>
              <w:t>Pēc rezultāta izvērtēšanas ginekologs vai ģimenes ārsts nosūta pacientu uz kolposkopiju,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0497F" w:rsidRPr="0056291E" w:rsidTr="007B51C0">
        <w:trPr>
          <w:trHeight w:val="917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A4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HSIL: vidēja/smaga displāzija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Pēc rezultāta izvērtēšanas </w:t>
            </w:r>
            <w:r w:rsidRPr="00A90F47">
              <w:rPr>
                <w:rFonts w:ascii="Calibri" w:hAnsi="Calibri" w:cs="Arial"/>
                <w:b/>
              </w:rPr>
              <w:t>ginekologs vai ģimenes ārsts nosūta pacientu uz kolposkopiju,</w:t>
            </w:r>
            <w:r w:rsidRPr="00A90F47">
              <w:rPr>
                <w:rFonts w:ascii="Calibri" w:hAnsi="Calibri" w:cs="Arial"/>
              </w:rPr>
              <w:t xml:space="preserve">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0497F" w:rsidRPr="0056291E" w:rsidTr="007B51C0">
        <w:trPr>
          <w:trHeight w:val="917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A5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AGUS: neskaidras nozīmes glandulārā apitēlija šūnu atipiskas izmaiņas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Pēc rezultāta izvērtēšanas </w:t>
            </w:r>
            <w:r w:rsidRPr="00A90F47">
              <w:rPr>
                <w:rFonts w:ascii="Calibri" w:hAnsi="Calibri" w:cs="Arial"/>
                <w:b/>
              </w:rPr>
              <w:t>ginekologs vai ģimenes ārsts nosūta pacientu uz kolposkopiju,</w:t>
            </w:r>
            <w:r w:rsidRPr="00A90F47">
              <w:rPr>
                <w:rFonts w:ascii="Calibri" w:hAnsi="Calibri" w:cs="Arial"/>
              </w:rPr>
              <w:t xml:space="preserve">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0497F" w:rsidRPr="0056291E" w:rsidTr="007B51C0">
        <w:trPr>
          <w:trHeight w:val="855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A6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Malignizācijas pazīmes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>Ginekologs vai ģimenes ārsts nosūta konsultācijai pie onkoloģijas ginekologa</w:t>
            </w:r>
            <w:r w:rsidRPr="00A90F47">
              <w:rPr>
                <w:rFonts w:ascii="Calibri" w:hAnsi="Calibri" w:cs="Arial"/>
              </w:rPr>
              <w:t>. Nosūtījumā tiek norādīta informācija, ka izmeklējumi nepieciešami pēc veiktās dzemdes kakla profilaktiskās  pārbaudes.</w:t>
            </w:r>
          </w:p>
        </w:tc>
      </w:tr>
      <w:tr w:rsidR="0050497F" w:rsidRPr="0056291E" w:rsidTr="007B51C0">
        <w:trPr>
          <w:trHeight w:val="149"/>
          <w:tblCellSpacing w:w="15" w:type="dxa"/>
        </w:trPr>
        <w:tc>
          <w:tcPr>
            <w:tcW w:w="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A7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Saplīsis stikliņš</w:t>
            </w:r>
          </w:p>
        </w:tc>
        <w:tc>
          <w:tcPr>
            <w:tcW w:w="3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497F" w:rsidRPr="00A90F47" w:rsidRDefault="0050497F" w:rsidP="007B51C0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Tests ir jāatkārto pēc trīs mēnešiem. </w:t>
            </w:r>
          </w:p>
        </w:tc>
      </w:tr>
    </w:tbl>
    <w:p w:rsidR="0050497F" w:rsidRDefault="0050497F" w:rsidP="00592208">
      <w:pPr>
        <w:ind w:left="-1134"/>
        <w:rPr>
          <w:rStyle w:val="Strong"/>
        </w:rPr>
      </w:pPr>
    </w:p>
    <w:p w:rsidR="0050497F" w:rsidRDefault="0050497F" w:rsidP="00592208">
      <w:pPr>
        <w:ind w:left="-1134"/>
        <w:rPr>
          <w:rStyle w:val="Strong"/>
        </w:rPr>
      </w:pPr>
    </w:p>
    <w:p w:rsidR="00592208" w:rsidRPr="00592208" w:rsidRDefault="00592208" w:rsidP="00592208">
      <w:pPr>
        <w:ind w:left="-1134"/>
        <w:rPr>
          <w:b/>
          <w:bCs/>
        </w:rPr>
      </w:pPr>
      <w:r w:rsidRPr="00592208">
        <w:rPr>
          <w:rStyle w:val="Strong"/>
        </w:rPr>
        <w:t>Citoloģisko rezult</w:t>
      </w:r>
      <w:r>
        <w:rPr>
          <w:rStyle w:val="Strong"/>
        </w:rPr>
        <w:t>ātu klas</w:t>
      </w:r>
      <w:r w:rsidRPr="00592208">
        <w:rPr>
          <w:rStyle w:val="Strong"/>
        </w:rPr>
        <w:t>ifik</w:t>
      </w:r>
      <w:r>
        <w:rPr>
          <w:rStyle w:val="Strong"/>
        </w:rPr>
        <w:t>ācija līdz 2015.  gada 1. j</w:t>
      </w:r>
      <w:r w:rsidRPr="00592208">
        <w:rPr>
          <w:rStyle w:val="Strong"/>
        </w:rPr>
        <w:t>anvār</w:t>
      </w:r>
      <w:r>
        <w:rPr>
          <w:rStyle w:val="Strong"/>
        </w:rPr>
        <w:t>im</w:t>
      </w:r>
    </w:p>
    <w:tbl>
      <w:tblPr>
        <w:tblW w:w="6202" w:type="pct"/>
        <w:tblCellSpacing w:w="15" w:type="dxa"/>
        <w:tblInd w:w="-1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7"/>
        <w:gridCol w:w="2157"/>
        <w:gridCol w:w="8033"/>
      </w:tblGrid>
      <w:tr w:rsidR="00592208" w:rsidRPr="0056291E" w:rsidTr="00A90F47">
        <w:trPr>
          <w:trHeight w:val="669"/>
          <w:tblCellSpacing w:w="15" w:type="dxa"/>
        </w:trPr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  <w:hideMark/>
          </w:tcPr>
          <w:p w:rsidR="00592208" w:rsidRPr="00A90F47" w:rsidRDefault="00592208" w:rsidP="00636FB8">
            <w:pPr>
              <w:pStyle w:val="tvhtml"/>
              <w:ind w:left="38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Citoloģiskais rezultāts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/>
            <w:vAlign w:val="center"/>
            <w:hideMark/>
          </w:tcPr>
          <w:p w:rsidR="00592208" w:rsidRPr="00A90F47" w:rsidRDefault="00592208" w:rsidP="00636FB8">
            <w:pPr>
              <w:pStyle w:val="tvhtml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A90F47">
              <w:rPr>
                <w:rFonts w:ascii="Calibri" w:hAnsi="Calibri" w:cs="Arial"/>
                <w:b/>
                <w:sz w:val="28"/>
                <w:szCs w:val="28"/>
              </w:rPr>
              <w:t>Rīcība pēc rezultāta saņemšanas</w:t>
            </w:r>
          </w:p>
        </w:tc>
      </w:tr>
      <w:tr w:rsidR="00592208" w:rsidRPr="0056291E" w:rsidTr="00636FB8">
        <w:trPr>
          <w:trHeight w:val="342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C0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Testēšana bez rezultāta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Tests ir jāatkārto pēc trīs mēnešiem. </w:t>
            </w:r>
          </w:p>
        </w:tc>
      </w:tr>
      <w:tr w:rsidR="00592208" w:rsidRPr="0056291E" w:rsidTr="00636FB8">
        <w:trPr>
          <w:trHeight w:val="678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C1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Norma, nav atrasts intraepiteliāls bojājums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Nākamā profilaktiskā pārbaude jāveic pēc nākamas uzaicinājuma vēstules saņemšanas.</w:t>
            </w:r>
          </w:p>
        </w:tc>
      </w:tr>
      <w:tr w:rsidR="00592208" w:rsidRPr="0056291E" w:rsidTr="00636FB8">
        <w:trPr>
          <w:trHeight w:val="1213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C2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Šūnu labdabīgas/reaktīvas izmaiņas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 xml:space="preserve">Ginekologs vai ģimenes ārsts nozīmē atkārtotu izmeklējumu pēc sešiem mēnešiem. </w:t>
            </w:r>
            <w:r w:rsidRPr="00A90F47">
              <w:rPr>
                <w:rFonts w:ascii="Calibri" w:hAnsi="Calibri" w:cs="Arial"/>
              </w:rPr>
              <w:t>Ja trīs reizes izmeklējuma rezultāts ir C2, tad ģimenes ārsts vai ginekologs nosūta pacientu uz kolposkopiju,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92208" w:rsidRPr="0056291E" w:rsidTr="00636FB8">
        <w:trPr>
          <w:trHeight w:val="358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C3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LSIL: viegla displāzija/HPV pazīmes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 xml:space="preserve">Ginekologa vai ģimenes ārsts nozīmē atkārtotu izmeklējumu pēc sešiem mēnešiem. </w:t>
            </w:r>
            <w:r w:rsidRPr="00A90F47">
              <w:rPr>
                <w:rFonts w:ascii="Calibri" w:hAnsi="Calibri" w:cs="Arial"/>
              </w:rPr>
              <w:t>Pēc rezultāta izvērtēšanas ginekologs vai ģimenes ārsts nosūta pacientu uz kolposkopiju,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92208" w:rsidRPr="0056291E" w:rsidTr="00636FB8">
        <w:trPr>
          <w:trHeight w:val="917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C4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HSIL: vidēja/smaga displāzija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Pēc rezultāta izvērtēšanas </w:t>
            </w:r>
            <w:r w:rsidRPr="00A90F47">
              <w:rPr>
                <w:rFonts w:ascii="Calibri" w:hAnsi="Calibri" w:cs="Arial"/>
                <w:b/>
              </w:rPr>
              <w:t>ginekologs vai ģimenes ārsts nosūta pacientu uz kolposkopiju,</w:t>
            </w:r>
            <w:r w:rsidRPr="00A90F47">
              <w:rPr>
                <w:rFonts w:ascii="Calibri" w:hAnsi="Calibri" w:cs="Arial"/>
              </w:rPr>
              <w:t xml:space="preserve"> lai veiktu mērķbiopsiju</w:t>
            </w:r>
            <w:r w:rsidRPr="00A90F47">
              <w:rPr>
                <w:rFonts w:ascii="Calibri" w:hAnsi="Calibri" w:cs="Arial"/>
                <w:b/>
              </w:rPr>
              <w:t xml:space="preserve">. </w:t>
            </w:r>
            <w:r w:rsidRPr="00A90F47">
              <w:rPr>
                <w:rFonts w:ascii="Calibri" w:hAnsi="Calibri" w:cs="Arial"/>
              </w:rPr>
              <w:t>Nosūtījumā tiek norādīta informācija, ka izmeklējumi nepieciešami pēc veiktās dzemdes kakla profilaktiskās  pārbaudes.</w:t>
            </w:r>
          </w:p>
        </w:tc>
      </w:tr>
      <w:tr w:rsidR="00592208" w:rsidRPr="0056291E" w:rsidTr="00636FB8">
        <w:trPr>
          <w:trHeight w:val="855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C5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Malignizācijas pazīmes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  <w:b/>
              </w:rPr>
              <w:t>Ginekologs vai ģimenes ārsts nosūta konsultācijai pie onkoloģijas ginekologa</w:t>
            </w:r>
            <w:r w:rsidRPr="00A90F47">
              <w:rPr>
                <w:rFonts w:ascii="Calibri" w:hAnsi="Calibri" w:cs="Arial"/>
              </w:rPr>
              <w:t>. Nosūtījumā tiek norādīta informācija, ka izmeklējumi nepieciešami pēc veiktās dzemdes kakla profilaktiskās  pārbaudes.</w:t>
            </w:r>
          </w:p>
        </w:tc>
      </w:tr>
      <w:tr w:rsidR="00592208" w:rsidRPr="0056291E" w:rsidTr="00636FB8">
        <w:trPr>
          <w:trHeight w:val="149"/>
          <w:tblCellSpacing w:w="15" w:type="dxa"/>
        </w:trPr>
        <w:tc>
          <w:tcPr>
            <w:tcW w:w="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C6</w:t>
            </w:r>
          </w:p>
        </w:tc>
        <w:tc>
          <w:tcPr>
            <w:tcW w:w="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636FB8">
            <w:pPr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>Saplīsis stikliņš</w:t>
            </w:r>
          </w:p>
        </w:tc>
        <w:tc>
          <w:tcPr>
            <w:tcW w:w="3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208" w:rsidRPr="00A90F47" w:rsidRDefault="00592208" w:rsidP="0031430B">
            <w:pPr>
              <w:jc w:val="both"/>
              <w:rPr>
                <w:rFonts w:ascii="Calibri" w:hAnsi="Calibri" w:cs="Arial"/>
              </w:rPr>
            </w:pPr>
            <w:r w:rsidRPr="00A90F47">
              <w:rPr>
                <w:rFonts w:ascii="Calibri" w:hAnsi="Calibri" w:cs="Arial"/>
              </w:rPr>
              <w:t xml:space="preserve">Tests ir jāatkārto pēc trīs mēnešiem. </w:t>
            </w:r>
          </w:p>
        </w:tc>
      </w:tr>
    </w:tbl>
    <w:p w:rsidR="00592208" w:rsidRPr="00A90F47" w:rsidRDefault="00592208">
      <w:pPr>
        <w:rPr>
          <w:rFonts w:ascii="Calibri" w:hAnsi="Calibri" w:cs="Arial"/>
          <w:b/>
          <w:bCs/>
          <w:sz w:val="28"/>
          <w:szCs w:val="28"/>
        </w:rPr>
      </w:pPr>
    </w:p>
    <w:sectPr w:rsidR="00592208" w:rsidRPr="00A90F47" w:rsidSect="00592208">
      <w:footerReference w:type="even" r:id="rId7"/>
      <w:footerReference w:type="default" r:id="rId8"/>
      <w:pgSz w:w="11906" w:h="16838"/>
      <w:pgMar w:top="426" w:right="164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74" w:rsidRDefault="00715674">
      <w:r>
        <w:separator/>
      </w:r>
    </w:p>
  </w:endnote>
  <w:endnote w:type="continuationSeparator" w:id="0">
    <w:p w:rsidR="00715674" w:rsidRDefault="0071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8" w:rsidRDefault="0058744F" w:rsidP="00636F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6FB8" w:rsidRDefault="00636FB8" w:rsidP="00636F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B8" w:rsidRDefault="0058744F" w:rsidP="00636F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D60">
      <w:rPr>
        <w:rStyle w:val="PageNumber"/>
        <w:noProof/>
      </w:rPr>
      <w:t>2</w:t>
    </w:r>
    <w:r>
      <w:rPr>
        <w:rStyle w:val="PageNumber"/>
      </w:rPr>
      <w:fldChar w:fldCharType="end"/>
    </w:r>
  </w:p>
  <w:p w:rsidR="00636FB8" w:rsidRDefault="00636FB8" w:rsidP="00636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74" w:rsidRDefault="00715674">
      <w:r>
        <w:separator/>
      </w:r>
    </w:p>
  </w:footnote>
  <w:footnote w:type="continuationSeparator" w:id="0">
    <w:p w:rsidR="00715674" w:rsidRDefault="00715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BC"/>
    <w:rsid w:val="00022F69"/>
    <w:rsid w:val="00077264"/>
    <w:rsid w:val="00123F5A"/>
    <w:rsid w:val="00192E9D"/>
    <w:rsid w:val="001A06D5"/>
    <w:rsid w:val="001C690C"/>
    <w:rsid w:val="001C6CBB"/>
    <w:rsid w:val="001D633B"/>
    <w:rsid w:val="00217A4A"/>
    <w:rsid w:val="00240153"/>
    <w:rsid w:val="00272893"/>
    <w:rsid w:val="00295F7D"/>
    <w:rsid w:val="002B7A10"/>
    <w:rsid w:val="002C5FFA"/>
    <w:rsid w:val="002D1601"/>
    <w:rsid w:val="00304C17"/>
    <w:rsid w:val="0030798D"/>
    <w:rsid w:val="0031430B"/>
    <w:rsid w:val="00333A6B"/>
    <w:rsid w:val="00342349"/>
    <w:rsid w:val="003479BF"/>
    <w:rsid w:val="003771D2"/>
    <w:rsid w:val="003C01F0"/>
    <w:rsid w:val="003E5C7C"/>
    <w:rsid w:val="003E63BC"/>
    <w:rsid w:val="003F6A77"/>
    <w:rsid w:val="00422602"/>
    <w:rsid w:val="0043626F"/>
    <w:rsid w:val="004401A1"/>
    <w:rsid w:val="00447818"/>
    <w:rsid w:val="004566D1"/>
    <w:rsid w:val="004C5E34"/>
    <w:rsid w:val="004D0C63"/>
    <w:rsid w:val="004D5C07"/>
    <w:rsid w:val="005042CA"/>
    <w:rsid w:val="0050497F"/>
    <w:rsid w:val="0052396A"/>
    <w:rsid w:val="00534DD9"/>
    <w:rsid w:val="00534E2E"/>
    <w:rsid w:val="0054637D"/>
    <w:rsid w:val="005567B1"/>
    <w:rsid w:val="0056291E"/>
    <w:rsid w:val="00575F92"/>
    <w:rsid w:val="0058744F"/>
    <w:rsid w:val="00592208"/>
    <w:rsid w:val="005A233D"/>
    <w:rsid w:val="005A3055"/>
    <w:rsid w:val="005D70FB"/>
    <w:rsid w:val="005F6E97"/>
    <w:rsid w:val="00613C8C"/>
    <w:rsid w:val="00636FB8"/>
    <w:rsid w:val="00654E78"/>
    <w:rsid w:val="0069196E"/>
    <w:rsid w:val="006B7B2F"/>
    <w:rsid w:val="00715453"/>
    <w:rsid w:val="00715674"/>
    <w:rsid w:val="007F0F31"/>
    <w:rsid w:val="007F31A3"/>
    <w:rsid w:val="00801472"/>
    <w:rsid w:val="00824CFF"/>
    <w:rsid w:val="008404DC"/>
    <w:rsid w:val="00871401"/>
    <w:rsid w:val="00882313"/>
    <w:rsid w:val="008B07BA"/>
    <w:rsid w:val="008C40D4"/>
    <w:rsid w:val="008C7A9C"/>
    <w:rsid w:val="008D53B7"/>
    <w:rsid w:val="00910FA2"/>
    <w:rsid w:val="00934199"/>
    <w:rsid w:val="0095556B"/>
    <w:rsid w:val="009735BB"/>
    <w:rsid w:val="009B2527"/>
    <w:rsid w:val="009E49AA"/>
    <w:rsid w:val="009F507B"/>
    <w:rsid w:val="00A00E24"/>
    <w:rsid w:val="00A114F9"/>
    <w:rsid w:val="00A46BCD"/>
    <w:rsid w:val="00A57247"/>
    <w:rsid w:val="00A71D84"/>
    <w:rsid w:val="00A77DFE"/>
    <w:rsid w:val="00A90F47"/>
    <w:rsid w:val="00AB1296"/>
    <w:rsid w:val="00AB7CC1"/>
    <w:rsid w:val="00B00FEE"/>
    <w:rsid w:val="00B13549"/>
    <w:rsid w:val="00B42787"/>
    <w:rsid w:val="00B533DC"/>
    <w:rsid w:val="00B61A07"/>
    <w:rsid w:val="00B666D6"/>
    <w:rsid w:val="00B80244"/>
    <w:rsid w:val="00BB0CBC"/>
    <w:rsid w:val="00BB693D"/>
    <w:rsid w:val="00BE3882"/>
    <w:rsid w:val="00BF67C6"/>
    <w:rsid w:val="00C14D66"/>
    <w:rsid w:val="00C23EB2"/>
    <w:rsid w:val="00C41DD8"/>
    <w:rsid w:val="00C756F2"/>
    <w:rsid w:val="00C761C9"/>
    <w:rsid w:val="00C803DE"/>
    <w:rsid w:val="00C816AC"/>
    <w:rsid w:val="00C94160"/>
    <w:rsid w:val="00CA2DB5"/>
    <w:rsid w:val="00CA7D60"/>
    <w:rsid w:val="00D1249B"/>
    <w:rsid w:val="00D23081"/>
    <w:rsid w:val="00D50401"/>
    <w:rsid w:val="00D520A8"/>
    <w:rsid w:val="00D63800"/>
    <w:rsid w:val="00D72781"/>
    <w:rsid w:val="00D82237"/>
    <w:rsid w:val="00DB678B"/>
    <w:rsid w:val="00DC52A5"/>
    <w:rsid w:val="00E46842"/>
    <w:rsid w:val="00E50BFD"/>
    <w:rsid w:val="00E938A1"/>
    <w:rsid w:val="00ED5B61"/>
    <w:rsid w:val="00EE6BB1"/>
    <w:rsid w:val="00EF2B83"/>
    <w:rsid w:val="00F17F84"/>
    <w:rsid w:val="00F26837"/>
    <w:rsid w:val="00F3301F"/>
    <w:rsid w:val="00F40E87"/>
    <w:rsid w:val="00F41CF7"/>
    <w:rsid w:val="00F701B5"/>
    <w:rsid w:val="00F762B2"/>
    <w:rsid w:val="00FF180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0A6CFC1"/>
  <w15:chartTrackingRefBased/>
  <w15:docId w15:val="{68145254-EB5E-47C0-A863-58C49232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B2527"/>
    <w:rPr>
      <w:b/>
      <w:bCs/>
    </w:rPr>
  </w:style>
  <w:style w:type="paragraph" w:styleId="Footer">
    <w:name w:val="footer"/>
    <w:basedOn w:val="Normal"/>
    <w:link w:val="FooterChar"/>
    <w:uiPriority w:val="99"/>
    <w:rsid w:val="009B252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B2527"/>
    <w:rPr>
      <w:sz w:val="24"/>
      <w:szCs w:val="24"/>
    </w:rPr>
  </w:style>
  <w:style w:type="character" w:styleId="PageNumber">
    <w:name w:val="page number"/>
    <w:basedOn w:val="DefaultParagraphFont"/>
    <w:rsid w:val="009B2527"/>
  </w:style>
  <w:style w:type="paragraph" w:styleId="ListParagraph">
    <w:name w:val="List Paragraph"/>
    <w:basedOn w:val="Normal"/>
    <w:uiPriority w:val="34"/>
    <w:qFormat/>
    <w:rsid w:val="009E49A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7A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7A4A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217A4A"/>
    <w:rPr>
      <w:i/>
      <w:iCs/>
    </w:rPr>
  </w:style>
  <w:style w:type="paragraph" w:customStyle="1" w:styleId="tvhtml">
    <w:name w:val="tv_html"/>
    <w:basedOn w:val="Normal"/>
    <w:rsid w:val="005A23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8B6B-0AC2-49A3-8A92-AC42823B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4367</Words>
  <Characters>2490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Ērgle</dc:creator>
  <cp:keywords/>
  <cp:lastModifiedBy>Jūlija Voropajeva</cp:lastModifiedBy>
  <cp:revision>2</cp:revision>
  <cp:lastPrinted>2014-10-20T11:51:00Z</cp:lastPrinted>
  <dcterms:created xsi:type="dcterms:W3CDTF">2019-02-28T08:57:00Z</dcterms:created>
  <dcterms:modified xsi:type="dcterms:W3CDTF">2019-02-28T08:57:00Z</dcterms:modified>
</cp:coreProperties>
</file>