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87F" w:rsidRPr="00400ECE" w:rsidRDefault="007A487F" w:rsidP="007A487F">
      <w:pPr>
        <w:jc w:val="right"/>
        <w:rPr>
          <w:rFonts w:eastAsia="Calibri"/>
          <w:i/>
          <w:lang w:eastAsia="en-US"/>
        </w:rPr>
      </w:pPr>
      <w:r w:rsidRPr="00400ECE">
        <w:rPr>
          <w:rFonts w:eastAsia="Calibri"/>
          <w:i/>
          <w:lang w:eastAsia="en-US"/>
        </w:rPr>
        <w:t>Līguma par stacionārās veselības</w:t>
      </w:r>
    </w:p>
    <w:p w:rsidR="007A487F" w:rsidRPr="00400ECE" w:rsidRDefault="007A487F" w:rsidP="007A487F">
      <w:pPr>
        <w:jc w:val="right"/>
        <w:rPr>
          <w:rFonts w:eastAsia="Calibri"/>
          <w:i/>
          <w:lang w:eastAsia="en-US"/>
        </w:rPr>
      </w:pPr>
      <w:r w:rsidRPr="00400ECE">
        <w:rPr>
          <w:rFonts w:eastAsia="Calibri"/>
          <w:i/>
          <w:lang w:eastAsia="en-US"/>
        </w:rPr>
        <w:t>aprūpes pakalpojumu sniegšanu un apmaksu</w:t>
      </w:r>
    </w:p>
    <w:p w:rsidR="007A487F" w:rsidRDefault="007A487F" w:rsidP="007A487F">
      <w:pPr>
        <w:jc w:val="right"/>
        <w:rPr>
          <w:rFonts w:eastAsia="Calibri"/>
          <w:i/>
          <w:lang w:eastAsia="en-US"/>
        </w:rPr>
      </w:pPr>
      <w:r w:rsidRPr="00400ECE">
        <w:rPr>
          <w:rFonts w:eastAsia="Calibri"/>
          <w:i/>
          <w:lang w:eastAsia="en-US"/>
        </w:rPr>
        <w:t>6.1.</w:t>
      </w:r>
      <w:r>
        <w:rPr>
          <w:rFonts w:eastAsia="Calibri"/>
          <w:i/>
          <w:lang w:eastAsia="en-US"/>
        </w:rPr>
        <w:t>2</w:t>
      </w:r>
      <w:r w:rsidRPr="00400ECE">
        <w:rPr>
          <w:rFonts w:eastAsia="Calibri"/>
          <w:i/>
          <w:lang w:eastAsia="en-US"/>
        </w:rPr>
        <w:t>1.punkts</w:t>
      </w:r>
    </w:p>
    <w:p w:rsidR="007A487F" w:rsidRDefault="007A487F" w:rsidP="007A487F">
      <w:pPr>
        <w:jc w:val="right"/>
        <w:rPr>
          <w:rFonts w:eastAsia="Calibri"/>
          <w:i/>
          <w:lang w:eastAsia="en-US"/>
        </w:rPr>
      </w:pPr>
    </w:p>
    <w:p w:rsidR="007A487F" w:rsidRDefault="007A487F" w:rsidP="007A487F">
      <w:pPr>
        <w:jc w:val="right"/>
        <w:rPr>
          <w:rFonts w:eastAsia="Calibri"/>
          <w:i/>
          <w:lang w:eastAsia="en-US"/>
        </w:rPr>
      </w:pPr>
    </w:p>
    <w:p w:rsidR="007A487F" w:rsidRPr="007A487F" w:rsidRDefault="007A487F" w:rsidP="007A487F">
      <w:pPr>
        <w:jc w:val="center"/>
        <w:rPr>
          <w:rFonts w:eastAsia="Calibri"/>
          <w:b/>
          <w:lang w:eastAsia="en-US"/>
        </w:rPr>
      </w:pPr>
      <w:r w:rsidRPr="007A487F">
        <w:rPr>
          <w:b/>
        </w:rPr>
        <w:t>Plānveida stacionāro onkoloģisko pakalpojumu sniedzēju darbības vērtēšanas kritēriji</w:t>
      </w:r>
    </w:p>
    <w:p w:rsidR="00F52DEC" w:rsidRDefault="00F52DEC"/>
    <w:p w:rsidR="007A487F" w:rsidRPr="007B0B5C" w:rsidRDefault="007A487F" w:rsidP="007B0B5C">
      <w:pPr>
        <w:pStyle w:val="ListParagraph"/>
        <w:numPr>
          <w:ilvl w:val="0"/>
          <w:numId w:val="1"/>
        </w:numPr>
        <w:ind w:left="284" w:hanging="284"/>
        <w:jc w:val="both"/>
        <w:rPr>
          <w:rFonts w:eastAsia="Calibri"/>
          <w:lang w:eastAsia="en-US"/>
        </w:rPr>
      </w:pPr>
      <w:r w:rsidRPr="007B0B5C">
        <w:t>Plānveida stacionāro onkoloģisko pakalpojumu sniedzēju darbība tiek vērtēta atbilstoši Līguma 5.pielikumā noteiktajam, ievērojot šādu vērtēšanas k</w:t>
      </w:r>
      <w:r w:rsidRPr="007B0B5C">
        <w:rPr>
          <w:rFonts w:eastAsia="Calibri"/>
        </w:rPr>
        <w:t>ritēriju aprēķina metodiku, aprēķiniem</w:t>
      </w:r>
      <w:r w:rsidRPr="007B0B5C">
        <w:rPr>
          <w:rFonts w:eastAsia="Calibri"/>
          <w:lang w:eastAsia="en-US"/>
        </w:rPr>
        <w:t xml:space="preserve"> izmantojot Dienesta un Slimību un profilakses kontroles centra pārziņā esošo informācijas sistēmu datus:</w:t>
      </w:r>
    </w:p>
    <w:p w:rsidR="007A487F" w:rsidRPr="007A487F" w:rsidRDefault="007A487F" w:rsidP="007A487F">
      <w:pPr>
        <w:ind w:left="851" w:hanging="567"/>
        <w:contextualSpacing/>
        <w:jc w:val="both"/>
        <w:rPr>
          <w:rFonts w:eastAsia="Calibri"/>
          <w:sz w:val="10"/>
          <w:szCs w:val="10"/>
          <w:lang w:eastAsia="en-US"/>
        </w:rPr>
      </w:pPr>
    </w:p>
    <w:p w:rsidR="007A487F" w:rsidRPr="007A487F" w:rsidRDefault="007A487F" w:rsidP="007A487F">
      <w:pPr>
        <w:spacing w:after="160" w:line="259" w:lineRule="auto"/>
        <w:ind w:left="851" w:hanging="567"/>
        <w:contextualSpacing/>
        <w:jc w:val="both"/>
        <w:rPr>
          <w:rFonts w:eastAsia="Calibri"/>
          <w:sz w:val="10"/>
          <w:szCs w:val="10"/>
          <w:lang w:eastAsia="en-US"/>
        </w:rPr>
      </w:pPr>
    </w:p>
    <w:tbl>
      <w:tblPr>
        <w:tblStyle w:val="TableGrid"/>
        <w:tblW w:w="8788" w:type="dxa"/>
        <w:tblInd w:w="279" w:type="dxa"/>
        <w:tblLook w:val="04A0" w:firstRow="1" w:lastRow="0" w:firstColumn="1" w:lastColumn="0" w:noHBand="0" w:noVBand="1"/>
      </w:tblPr>
      <w:tblGrid>
        <w:gridCol w:w="992"/>
        <w:gridCol w:w="2410"/>
        <w:gridCol w:w="5386"/>
      </w:tblGrid>
      <w:tr w:rsidR="007A487F" w:rsidRPr="007A487F" w:rsidTr="007B0B5C">
        <w:tc>
          <w:tcPr>
            <w:tcW w:w="992" w:type="dxa"/>
            <w:shd w:val="clear" w:color="auto" w:fill="F2F2F2"/>
          </w:tcPr>
          <w:p w:rsidR="007A487F" w:rsidRPr="007A487F" w:rsidRDefault="007A487F" w:rsidP="007A487F">
            <w:pPr>
              <w:spacing w:after="160" w:line="259" w:lineRule="auto"/>
              <w:contextualSpacing/>
              <w:jc w:val="center"/>
              <w:rPr>
                <w:rFonts w:eastAsia="Calibri"/>
                <w:b/>
                <w:i/>
                <w:sz w:val="22"/>
                <w:szCs w:val="22"/>
                <w:lang w:eastAsia="en-US"/>
              </w:rPr>
            </w:pPr>
            <w:proofErr w:type="spellStart"/>
            <w:r w:rsidRPr="007A487F">
              <w:rPr>
                <w:rFonts w:eastAsia="Calibri"/>
                <w:b/>
                <w:i/>
                <w:sz w:val="22"/>
                <w:szCs w:val="22"/>
                <w:lang w:eastAsia="en-US"/>
              </w:rPr>
              <w:t>Nr.p.k</w:t>
            </w:r>
            <w:proofErr w:type="spellEnd"/>
            <w:r w:rsidRPr="007A487F">
              <w:rPr>
                <w:rFonts w:eastAsia="Calibri"/>
                <w:b/>
                <w:i/>
                <w:sz w:val="22"/>
                <w:szCs w:val="22"/>
                <w:lang w:eastAsia="en-US"/>
              </w:rPr>
              <w:t>.</w:t>
            </w:r>
          </w:p>
        </w:tc>
        <w:tc>
          <w:tcPr>
            <w:tcW w:w="2410" w:type="dxa"/>
            <w:shd w:val="clear" w:color="auto" w:fill="F2F2F2"/>
          </w:tcPr>
          <w:p w:rsidR="007A487F" w:rsidRPr="007A487F" w:rsidRDefault="007A487F" w:rsidP="007A487F">
            <w:pPr>
              <w:spacing w:after="160" w:line="259" w:lineRule="auto"/>
              <w:contextualSpacing/>
              <w:jc w:val="center"/>
              <w:rPr>
                <w:rFonts w:eastAsia="Calibri"/>
                <w:b/>
                <w:i/>
                <w:sz w:val="22"/>
                <w:szCs w:val="22"/>
                <w:lang w:eastAsia="en-US"/>
              </w:rPr>
            </w:pPr>
            <w:r w:rsidRPr="007A487F">
              <w:rPr>
                <w:rFonts w:eastAsia="Calibri"/>
                <w:b/>
                <w:i/>
                <w:sz w:val="22"/>
                <w:szCs w:val="22"/>
                <w:lang w:eastAsia="en-US"/>
              </w:rPr>
              <w:t>Kritērijs</w:t>
            </w:r>
          </w:p>
        </w:tc>
        <w:tc>
          <w:tcPr>
            <w:tcW w:w="5386" w:type="dxa"/>
            <w:shd w:val="clear" w:color="auto" w:fill="F2F2F2"/>
          </w:tcPr>
          <w:p w:rsidR="007A487F" w:rsidRPr="007A487F" w:rsidRDefault="007A487F" w:rsidP="007A487F">
            <w:pPr>
              <w:spacing w:after="160" w:line="259" w:lineRule="auto"/>
              <w:contextualSpacing/>
              <w:jc w:val="center"/>
              <w:rPr>
                <w:rFonts w:eastAsia="Calibri"/>
                <w:b/>
                <w:i/>
                <w:sz w:val="22"/>
                <w:szCs w:val="22"/>
                <w:lang w:eastAsia="en-US"/>
              </w:rPr>
            </w:pPr>
            <w:r w:rsidRPr="007A487F">
              <w:rPr>
                <w:rFonts w:eastAsia="Calibri"/>
                <w:b/>
                <w:i/>
                <w:sz w:val="22"/>
                <w:szCs w:val="22"/>
                <w:lang w:eastAsia="en-US"/>
              </w:rPr>
              <w:t>Kritērija aprēķina metodika</w:t>
            </w:r>
          </w:p>
        </w:tc>
      </w:tr>
      <w:tr w:rsidR="007A487F" w:rsidRPr="007B0B5C" w:rsidTr="007B0B5C">
        <w:tc>
          <w:tcPr>
            <w:tcW w:w="992" w:type="dxa"/>
          </w:tcPr>
          <w:p w:rsidR="007A487F" w:rsidRPr="007A487F" w:rsidRDefault="007A487F" w:rsidP="007A487F">
            <w:pPr>
              <w:spacing w:after="160" w:line="259" w:lineRule="auto"/>
              <w:contextualSpacing/>
              <w:rPr>
                <w:rFonts w:eastAsia="Calibri"/>
                <w:lang w:eastAsia="en-US"/>
              </w:rPr>
            </w:pPr>
            <w:r w:rsidRPr="007A487F">
              <w:rPr>
                <w:rFonts w:eastAsia="Calibri"/>
                <w:lang w:eastAsia="en-US"/>
              </w:rPr>
              <w:t>1.1.</w:t>
            </w:r>
          </w:p>
        </w:tc>
        <w:tc>
          <w:tcPr>
            <w:tcW w:w="2410" w:type="dxa"/>
          </w:tcPr>
          <w:p w:rsidR="007A487F" w:rsidRPr="007A487F" w:rsidRDefault="007A487F" w:rsidP="007A487F">
            <w:pPr>
              <w:spacing w:after="160" w:line="259" w:lineRule="auto"/>
              <w:contextualSpacing/>
              <w:jc w:val="both"/>
              <w:rPr>
                <w:rFonts w:eastAsia="Calibri"/>
                <w:lang w:eastAsia="en-US"/>
              </w:rPr>
            </w:pPr>
            <w:r w:rsidRPr="007A487F">
              <w:rPr>
                <w:rFonts w:eastAsia="Calibri"/>
                <w:lang w:eastAsia="en-US"/>
              </w:rPr>
              <w:t xml:space="preserve">Onkoloģisko operāciju skaita izpilde (%) dalījumā pa lokalizācijām </w:t>
            </w:r>
          </w:p>
        </w:tc>
        <w:tc>
          <w:tcPr>
            <w:tcW w:w="5386" w:type="dxa"/>
          </w:tcPr>
          <w:p w:rsidR="007A487F" w:rsidRPr="001D254E" w:rsidRDefault="007A487F" w:rsidP="007A487F">
            <w:pPr>
              <w:spacing w:after="160" w:line="259" w:lineRule="auto"/>
              <w:contextualSpacing/>
              <w:jc w:val="both"/>
              <w:rPr>
                <w:rFonts w:eastAsiaTheme="minorHAnsi"/>
                <w:vertAlign w:val="superscript"/>
                <w:lang w:eastAsia="en-US"/>
              </w:rPr>
            </w:pPr>
            <w:r w:rsidRPr="001D254E">
              <w:rPr>
                <w:rFonts w:eastAsiaTheme="minorHAnsi"/>
                <w:lang w:eastAsia="en-US"/>
              </w:rPr>
              <w:t>Katrā lokalizācijā veikto onkoloģisko operāciju skaits</w:t>
            </w:r>
            <w:r w:rsidRPr="001D254E">
              <w:rPr>
                <w:rFonts w:eastAsiaTheme="minorHAnsi"/>
                <w:vertAlign w:val="superscript"/>
                <w:lang w:eastAsia="en-US"/>
              </w:rPr>
              <w:t>1</w:t>
            </w:r>
            <w:r w:rsidRPr="001D254E">
              <w:rPr>
                <w:rFonts w:eastAsiaTheme="minorHAnsi"/>
                <w:lang w:eastAsia="en-US"/>
              </w:rPr>
              <w:t xml:space="preserve"> ārstniecības iestādē stacionārajiem pacientiem ar C00-C80 un C97 diagnozēm / attiecīgajai lokalizācijai noteiktais minimālais manipulāciju skaits izteikts %</w:t>
            </w:r>
            <w:r w:rsidRPr="001D254E">
              <w:rPr>
                <w:rFonts w:eastAsiaTheme="minorHAnsi"/>
                <w:vertAlign w:val="superscript"/>
                <w:lang w:eastAsia="en-US"/>
              </w:rPr>
              <w:t>2.</w:t>
            </w:r>
          </w:p>
          <w:p w:rsidR="007A487F" w:rsidRPr="001D254E" w:rsidRDefault="007A487F" w:rsidP="007A487F">
            <w:pPr>
              <w:spacing w:after="160" w:line="259" w:lineRule="auto"/>
              <w:contextualSpacing/>
              <w:jc w:val="both"/>
              <w:rPr>
                <w:rFonts w:eastAsia="Calibri"/>
                <w:lang w:eastAsia="en-US"/>
              </w:rPr>
            </w:pPr>
            <w:r w:rsidRPr="001D254E">
              <w:rPr>
                <w:rFonts w:eastAsiaTheme="minorHAnsi"/>
                <w:lang w:eastAsia="en-US"/>
              </w:rPr>
              <w:t>Rezultātā tiek iegūts mērķa rādītājs, kurš norāda uz pieņemamu, uzraugāmu vai nepieņemamu  manipulāciju skaitu.</w:t>
            </w:r>
          </w:p>
        </w:tc>
      </w:tr>
      <w:tr w:rsidR="007A487F" w:rsidRPr="007B0B5C" w:rsidTr="007B0B5C">
        <w:tc>
          <w:tcPr>
            <w:tcW w:w="992" w:type="dxa"/>
          </w:tcPr>
          <w:p w:rsidR="007A487F" w:rsidRPr="007A487F" w:rsidRDefault="007A487F" w:rsidP="007A487F">
            <w:pPr>
              <w:spacing w:after="160" w:line="259" w:lineRule="auto"/>
              <w:contextualSpacing/>
              <w:rPr>
                <w:rFonts w:eastAsia="Calibri"/>
                <w:lang w:eastAsia="en-US"/>
              </w:rPr>
            </w:pPr>
            <w:r w:rsidRPr="007A487F">
              <w:rPr>
                <w:rFonts w:eastAsia="Calibri"/>
                <w:lang w:eastAsia="en-US"/>
              </w:rPr>
              <w:t>1.2.</w:t>
            </w:r>
          </w:p>
        </w:tc>
        <w:tc>
          <w:tcPr>
            <w:tcW w:w="2410" w:type="dxa"/>
          </w:tcPr>
          <w:p w:rsidR="007A487F" w:rsidRPr="007A487F" w:rsidRDefault="007A487F" w:rsidP="007A487F">
            <w:pPr>
              <w:spacing w:after="160" w:line="259" w:lineRule="auto"/>
              <w:contextualSpacing/>
              <w:jc w:val="both"/>
              <w:rPr>
                <w:rFonts w:eastAsia="Calibri"/>
                <w:lang w:eastAsia="en-US"/>
              </w:rPr>
            </w:pPr>
            <w:r w:rsidRPr="007A487F">
              <w:rPr>
                <w:rFonts w:eastAsiaTheme="minorHAnsi"/>
                <w:lang w:eastAsia="en-US"/>
              </w:rPr>
              <w:t xml:space="preserve">Radikālo </w:t>
            </w:r>
            <w:proofErr w:type="spellStart"/>
            <w:r w:rsidRPr="007A487F">
              <w:rPr>
                <w:rFonts w:eastAsiaTheme="minorHAnsi"/>
                <w:lang w:eastAsia="en-US"/>
              </w:rPr>
              <w:t>mastektomiju</w:t>
            </w:r>
            <w:proofErr w:type="spellEnd"/>
            <w:r w:rsidRPr="007A487F">
              <w:rPr>
                <w:rFonts w:eastAsiaTheme="minorHAnsi"/>
                <w:lang w:eastAsia="en-US"/>
              </w:rPr>
              <w:t xml:space="preserve"> procentuālais īpatsvars pacientiem ar diagnozi C50 agrīnā vēža stadijā (1.-2. stadija)</w:t>
            </w:r>
          </w:p>
        </w:tc>
        <w:tc>
          <w:tcPr>
            <w:tcW w:w="5386" w:type="dxa"/>
          </w:tcPr>
          <w:p w:rsidR="007A487F" w:rsidRPr="001D254E" w:rsidRDefault="007A487F" w:rsidP="001D254E">
            <w:pPr>
              <w:spacing w:after="160" w:line="259" w:lineRule="auto"/>
              <w:contextualSpacing/>
              <w:rPr>
                <w:rFonts w:eastAsia="Calibri"/>
                <w:lang w:eastAsia="en-US"/>
              </w:rPr>
            </w:pPr>
            <w:r w:rsidRPr="001D254E">
              <w:rPr>
                <w:rFonts w:eastAsia="Calibri"/>
                <w:lang w:eastAsia="en-US"/>
              </w:rPr>
              <w:t xml:space="preserve">Plānveidā veikto radikālo </w:t>
            </w:r>
            <w:proofErr w:type="spellStart"/>
            <w:r w:rsidRPr="001D254E">
              <w:rPr>
                <w:rFonts w:eastAsia="Calibri"/>
                <w:lang w:eastAsia="en-US"/>
              </w:rPr>
              <w:t>mastektomiju</w:t>
            </w:r>
            <w:proofErr w:type="spellEnd"/>
            <w:r w:rsidRPr="001D254E">
              <w:rPr>
                <w:rFonts w:eastAsia="Calibri"/>
                <w:lang w:eastAsia="en-US"/>
              </w:rPr>
              <w:t xml:space="preserve"> (HAC25- radikāla </w:t>
            </w:r>
            <w:proofErr w:type="spellStart"/>
            <w:r w:rsidRPr="001D254E">
              <w:rPr>
                <w:rFonts w:eastAsia="Calibri"/>
                <w:lang w:eastAsia="en-US"/>
              </w:rPr>
              <w:t>mastektomija</w:t>
            </w:r>
            <w:proofErr w:type="spellEnd"/>
            <w:r w:rsidRPr="001D254E">
              <w:rPr>
                <w:rFonts w:eastAsia="Calibri"/>
                <w:lang w:eastAsia="en-US"/>
              </w:rPr>
              <w:t xml:space="preserve">) skaits, pacientiem ar diagnozi C50 agrīnā vēža stadijā (1.-2. stadija), datus par pacienta vēža stadiju iegūstot no Slimību un profilakses kontroles centra vēža reģistra datubāzes / kopējais plānveidā veikto daļējo krūts </w:t>
            </w:r>
            <w:proofErr w:type="spellStart"/>
            <w:r w:rsidRPr="001D254E">
              <w:rPr>
                <w:rFonts w:eastAsia="Calibri"/>
                <w:lang w:eastAsia="en-US"/>
              </w:rPr>
              <w:t>ekcīziju</w:t>
            </w:r>
            <w:proofErr w:type="spellEnd"/>
            <w:r w:rsidRPr="001D254E">
              <w:rPr>
                <w:rFonts w:eastAsia="Calibri"/>
                <w:lang w:eastAsia="en-US"/>
              </w:rPr>
              <w:t xml:space="preserve"> (HAB kodi) un </w:t>
            </w:r>
            <w:proofErr w:type="spellStart"/>
            <w:r w:rsidRPr="001D254E">
              <w:rPr>
                <w:rFonts w:eastAsia="Calibri"/>
                <w:lang w:eastAsia="en-US"/>
              </w:rPr>
              <w:t>mastektomiju</w:t>
            </w:r>
            <w:proofErr w:type="spellEnd"/>
            <w:r w:rsidRPr="001D254E">
              <w:rPr>
                <w:rFonts w:eastAsia="Calibri"/>
                <w:lang w:eastAsia="en-US"/>
              </w:rPr>
              <w:t xml:space="preserve"> (HAC kodi) skaits, pacientiem ar diagnozi C50 agrīnā vēža stadijā (1.-2. stadija) izteikts %. Rezultātā tiek iegūts manipulāciju procentuālais īpatsvars, kurš pēc šī </w:t>
            </w:r>
            <w:r w:rsidR="001D254E">
              <w:rPr>
                <w:rFonts w:eastAsia="Calibri"/>
                <w:lang w:eastAsia="en-US"/>
              </w:rPr>
              <w:t>dokumenta 2</w:t>
            </w:r>
            <w:r w:rsidRPr="001D254E">
              <w:rPr>
                <w:rFonts w:eastAsia="Calibri"/>
                <w:lang w:eastAsia="en-US"/>
              </w:rPr>
              <w:t>.2.</w:t>
            </w:r>
            <w:r w:rsidR="001D254E">
              <w:rPr>
                <w:rFonts w:eastAsia="Calibri"/>
                <w:lang w:eastAsia="en-US"/>
              </w:rPr>
              <w:t>apakš</w:t>
            </w:r>
            <w:r w:rsidRPr="001D254E">
              <w:rPr>
                <w:rFonts w:eastAsia="Calibri"/>
                <w:lang w:eastAsia="en-US"/>
              </w:rPr>
              <w:t>punkta mērķa rādītāja ir pieņemams, uzraugāms vai nepieņemam.</w:t>
            </w:r>
          </w:p>
        </w:tc>
      </w:tr>
      <w:tr w:rsidR="007A487F" w:rsidRPr="007B0B5C" w:rsidTr="007B0B5C">
        <w:tc>
          <w:tcPr>
            <w:tcW w:w="992" w:type="dxa"/>
          </w:tcPr>
          <w:p w:rsidR="007A487F" w:rsidRPr="007A487F" w:rsidRDefault="007A487F" w:rsidP="007A487F">
            <w:pPr>
              <w:spacing w:after="160" w:line="259" w:lineRule="auto"/>
              <w:contextualSpacing/>
              <w:rPr>
                <w:rFonts w:eastAsia="Calibri"/>
                <w:lang w:eastAsia="en-US"/>
              </w:rPr>
            </w:pPr>
            <w:r w:rsidRPr="007A487F">
              <w:rPr>
                <w:rFonts w:eastAsia="Calibri"/>
                <w:lang w:eastAsia="en-US"/>
              </w:rPr>
              <w:t>1.3.</w:t>
            </w:r>
          </w:p>
        </w:tc>
        <w:tc>
          <w:tcPr>
            <w:tcW w:w="2410" w:type="dxa"/>
          </w:tcPr>
          <w:p w:rsidR="007A487F" w:rsidRPr="007A487F" w:rsidRDefault="007A487F" w:rsidP="00041609">
            <w:pPr>
              <w:spacing w:after="160" w:line="259" w:lineRule="auto"/>
              <w:contextualSpacing/>
              <w:jc w:val="both"/>
              <w:rPr>
                <w:rFonts w:eastAsia="Calibri"/>
                <w:lang w:eastAsia="en-US"/>
              </w:rPr>
            </w:pPr>
            <w:r w:rsidRPr="007A487F">
              <w:rPr>
                <w:rFonts w:eastAsiaTheme="minorHAnsi"/>
                <w:lang w:eastAsia="en-US"/>
              </w:rPr>
              <w:t xml:space="preserve">Ārstniecības iestādē veikto stacionāro plānveida onkoloģisko operāciju, kuras veic ārstniecības personas, kuras izpilda šī </w:t>
            </w:r>
            <w:r w:rsidR="00041609">
              <w:rPr>
                <w:rFonts w:eastAsiaTheme="minorHAnsi"/>
                <w:lang w:eastAsia="en-US"/>
              </w:rPr>
              <w:t>dokumenta 3</w:t>
            </w:r>
            <w:r w:rsidRPr="007A487F">
              <w:rPr>
                <w:rFonts w:eastAsiaTheme="minorHAnsi"/>
                <w:lang w:eastAsia="en-US"/>
              </w:rPr>
              <w:t xml:space="preserve">.punktā noteiktos apjomus, skaita procentuālais īpatsvars no visām ārstniecības iestādē veiktajām stacionārajām plānveida onkoloģiskām </w:t>
            </w:r>
            <w:r w:rsidRPr="007A487F">
              <w:rPr>
                <w:rFonts w:eastAsiaTheme="minorHAnsi"/>
                <w:lang w:eastAsia="en-US"/>
              </w:rPr>
              <w:lastRenderedPageBreak/>
              <w:t>operācijām dalījumā pa lokalizācijām</w:t>
            </w:r>
          </w:p>
        </w:tc>
        <w:tc>
          <w:tcPr>
            <w:tcW w:w="5386" w:type="dxa"/>
          </w:tcPr>
          <w:p w:rsidR="007A487F" w:rsidRPr="001D254E" w:rsidRDefault="007A487F" w:rsidP="00041609">
            <w:pPr>
              <w:spacing w:after="160" w:line="259" w:lineRule="auto"/>
              <w:contextualSpacing/>
              <w:jc w:val="both"/>
              <w:rPr>
                <w:rFonts w:eastAsia="Calibri"/>
                <w:lang w:eastAsia="en-US"/>
              </w:rPr>
            </w:pPr>
            <w:r w:rsidRPr="001D254E">
              <w:rPr>
                <w:rFonts w:eastAsiaTheme="minorHAnsi"/>
                <w:lang w:eastAsia="en-US"/>
              </w:rPr>
              <w:lastRenderedPageBreak/>
              <w:t xml:space="preserve">Ārstniecības personu, kuras izpilda  </w:t>
            </w:r>
            <w:r w:rsidR="00041609" w:rsidRPr="007A487F">
              <w:rPr>
                <w:rFonts w:eastAsiaTheme="minorHAnsi"/>
                <w:lang w:eastAsia="en-US"/>
              </w:rPr>
              <w:t xml:space="preserve">šī </w:t>
            </w:r>
            <w:r w:rsidR="00041609">
              <w:rPr>
                <w:rFonts w:eastAsiaTheme="minorHAnsi"/>
                <w:lang w:eastAsia="en-US"/>
              </w:rPr>
              <w:t>dokumenta 3</w:t>
            </w:r>
            <w:r w:rsidR="00041609" w:rsidRPr="007A487F">
              <w:rPr>
                <w:rFonts w:eastAsiaTheme="minorHAnsi"/>
                <w:lang w:eastAsia="en-US"/>
              </w:rPr>
              <w:t>.punktā</w:t>
            </w:r>
            <w:r w:rsidRPr="001D254E">
              <w:rPr>
                <w:rFonts w:eastAsiaTheme="minorHAnsi"/>
                <w:lang w:eastAsia="en-US"/>
              </w:rPr>
              <w:t xml:space="preserve"> noteiktos apjomus, veikto attiecīgās lokalizācijas plānveida stacionāro onkoloģisko operāciju skaits Atbilstoši pielikumā minētajam manipulāciju sarakstam / kopējais attiecīgās lokalizācijas veikto plānveida stacionāro onkoloģisko operāciju skaits izteikts %. Rezultātā tiek iegūts manipulāciju procentuālais īpatsvars, kurš pēc šī </w:t>
            </w:r>
            <w:r w:rsidR="00041609">
              <w:rPr>
                <w:rFonts w:eastAsiaTheme="minorHAnsi"/>
                <w:lang w:eastAsia="en-US"/>
              </w:rPr>
              <w:t>dokumenta</w:t>
            </w:r>
            <w:r w:rsidRPr="001D254E">
              <w:rPr>
                <w:rFonts w:eastAsiaTheme="minorHAnsi"/>
                <w:lang w:eastAsia="en-US"/>
              </w:rPr>
              <w:t xml:space="preserve"> 2.3.apakšpunkta mērķa rādītāja ir pieņemams, uzraugāms vai nepieņemams.</w:t>
            </w:r>
          </w:p>
        </w:tc>
      </w:tr>
      <w:tr w:rsidR="007A487F" w:rsidRPr="007B0B5C" w:rsidTr="007B0B5C">
        <w:tc>
          <w:tcPr>
            <w:tcW w:w="992" w:type="dxa"/>
          </w:tcPr>
          <w:p w:rsidR="007A487F" w:rsidRPr="007A487F" w:rsidRDefault="007A487F" w:rsidP="007A487F">
            <w:pPr>
              <w:spacing w:after="160" w:line="259" w:lineRule="auto"/>
              <w:contextualSpacing/>
              <w:rPr>
                <w:rFonts w:eastAsia="Calibri"/>
                <w:lang w:eastAsia="en-US"/>
              </w:rPr>
            </w:pPr>
            <w:r w:rsidRPr="007A487F">
              <w:rPr>
                <w:rFonts w:eastAsia="Calibri"/>
                <w:lang w:eastAsia="en-US"/>
              </w:rPr>
              <w:t>1.4.</w:t>
            </w:r>
          </w:p>
        </w:tc>
        <w:tc>
          <w:tcPr>
            <w:tcW w:w="2410" w:type="dxa"/>
          </w:tcPr>
          <w:p w:rsidR="007A487F" w:rsidRPr="007A487F" w:rsidRDefault="007A487F" w:rsidP="007A487F">
            <w:pPr>
              <w:spacing w:after="160" w:line="259" w:lineRule="auto"/>
              <w:contextualSpacing/>
              <w:jc w:val="both"/>
              <w:rPr>
                <w:rFonts w:eastAsia="Calibri"/>
                <w:lang w:eastAsia="en-US"/>
              </w:rPr>
            </w:pPr>
            <w:r w:rsidRPr="007A487F">
              <w:rPr>
                <w:rFonts w:eastAsia="Calibri"/>
                <w:lang w:eastAsia="en-US"/>
              </w:rPr>
              <w:t>Pacientu ar pirmreizēji diagnosticētu onkoloģisko slimību procentuālais īpatsvars, kuriem vismaz 28 dienas pirms plānveida onkoloģiskās operācijas, ir bijis konsīlijs (terapijas taktikas pieņemšana)</w:t>
            </w:r>
          </w:p>
        </w:tc>
        <w:tc>
          <w:tcPr>
            <w:tcW w:w="5386" w:type="dxa"/>
          </w:tcPr>
          <w:p w:rsidR="007A487F" w:rsidRPr="001D254E" w:rsidRDefault="007A487F" w:rsidP="00041609">
            <w:pPr>
              <w:spacing w:after="160" w:line="259" w:lineRule="auto"/>
              <w:contextualSpacing/>
              <w:jc w:val="both"/>
              <w:rPr>
                <w:rFonts w:eastAsia="Calibri"/>
                <w:lang w:eastAsia="en-US"/>
              </w:rPr>
            </w:pPr>
            <w:r w:rsidRPr="001D254E">
              <w:rPr>
                <w:rFonts w:eastAsia="Calibri"/>
                <w:lang w:eastAsia="en-US"/>
              </w:rPr>
              <w:t>Plānveidā hospitalizēto pacientu skaits ar pirmreizēji diagnosticētu onkoloģisko slimību (pamata izrakstīšanās diagnoze C00- C80 un C97), k</w:t>
            </w:r>
            <w:r w:rsidR="00041609">
              <w:rPr>
                <w:rFonts w:eastAsia="Calibri"/>
                <w:lang w:eastAsia="en-US"/>
              </w:rPr>
              <w:t>uriem</w:t>
            </w:r>
            <w:r w:rsidRPr="001D254E">
              <w:rPr>
                <w:rFonts w:eastAsia="Calibri"/>
                <w:lang w:eastAsia="en-US"/>
              </w:rPr>
              <w:t xml:space="preserve"> saskaņā ar Slimību profilakses un kontroles centra datiem par pacientiem ar pirmreizēji diagnosticētu onkoloģisko slimību veikta onkoloģiska operācija un kam pēdējo 28 dienu laikā pirms onkoloģiskas operācijas ir bijis konsīlijs (terapijas taktikas pieņemšana)</w:t>
            </w:r>
            <w:r w:rsidRPr="001D254E">
              <w:rPr>
                <w:rFonts w:eastAsia="Calibri"/>
                <w:vertAlign w:val="superscript"/>
                <w:lang w:eastAsia="en-US"/>
              </w:rPr>
              <w:t>3</w:t>
            </w:r>
            <w:r w:rsidRPr="001D254E">
              <w:rPr>
                <w:rFonts w:eastAsia="Calibri"/>
                <w:lang w:eastAsia="en-US"/>
              </w:rPr>
              <w:t xml:space="preserve">/ kopējais plānveidā hospitalizēto pacientu skaits ar pirmreizēji diagnosticētu onkoloģisko slimību, kam veikta onkoloģiska operācija izteikts %. Rezultātā tiek iegūts pacientu procentuālais īpatsvars, kurš pēc šī </w:t>
            </w:r>
            <w:r w:rsidR="00041609">
              <w:rPr>
                <w:rFonts w:eastAsia="Calibri"/>
                <w:lang w:eastAsia="en-US"/>
              </w:rPr>
              <w:t xml:space="preserve">dokumenta </w:t>
            </w:r>
            <w:r w:rsidRPr="001D254E">
              <w:rPr>
                <w:rFonts w:eastAsia="Calibri"/>
                <w:lang w:eastAsia="en-US"/>
              </w:rPr>
              <w:t>2.4.apakšpunkta mērķa rādītāja vērtējams kā pieņemams, uzraugāms vai nepieņemams</w:t>
            </w:r>
          </w:p>
        </w:tc>
      </w:tr>
      <w:tr w:rsidR="007A487F" w:rsidRPr="007B0B5C" w:rsidTr="007B0B5C">
        <w:tc>
          <w:tcPr>
            <w:tcW w:w="992" w:type="dxa"/>
          </w:tcPr>
          <w:p w:rsidR="007A487F" w:rsidRPr="007A487F" w:rsidRDefault="007A487F" w:rsidP="007A487F">
            <w:pPr>
              <w:spacing w:after="160" w:line="259" w:lineRule="auto"/>
              <w:contextualSpacing/>
              <w:rPr>
                <w:rFonts w:eastAsia="Calibri"/>
                <w:lang w:eastAsia="en-US"/>
              </w:rPr>
            </w:pPr>
            <w:r w:rsidRPr="007A487F">
              <w:rPr>
                <w:rFonts w:eastAsia="Calibri"/>
                <w:lang w:eastAsia="en-US"/>
              </w:rPr>
              <w:t>1.5.</w:t>
            </w:r>
          </w:p>
        </w:tc>
        <w:tc>
          <w:tcPr>
            <w:tcW w:w="2410" w:type="dxa"/>
          </w:tcPr>
          <w:p w:rsidR="007A487F" w:rsidRPr="007A487F" w:rsidRDefault="007A487F" w:rsidP="007A487F">
            <w:pPr>
              <w:spacing w:after="160" w:line="259" w:lineRule="auto"/>
              <w:contextualSpacing/>
              <w:jc w:val="both"/>
              <w:rPr>
                <w:rFonts w:eastAsia="Calibri"/>
                <w:lang w:eastAsia="en-US"/>
              </w:rPr>
            </w:pPr>
            <w:r w:rsidRPr="007A487F">
              <w:rPr>
                <w:rFonts w:eastAsia="Calibri"/>
                <w:lang w:eastAsia="en-US"/>
              </w:rPr>
              <w:t>Unikālo pacientu, kuriem plānveida stacionārā onkoloģijas ārstēšana tiek nodrošināta 28 dienu laikā no ambulatorā konsīlija (terapijas taktikas pieņemšanas brīža), procentuālais īpatsvars</w:t>
            </w:r>
          </w:p>
        </w:tc>
        <w:tc>
          <w:tcPr>
            <w:tcW w:w="5386" w:type="dxa"/>
          </w:tcPr>
          <w:p w:rsidR="007A487F" w:rsidRPr="001D254E" w:rsidRDefault="007A487F" w:rsidP="00041609">
            <w:pPr>
              <w:spacing w:after="160" w:line="259" w:lineRule="auto"/>
              <w:contextualSpacing/>
              <w:rPr>
                <w:rFonts w:eastAsia="Calibri"/>
                <w:lang w:eastAsia="en-US"/>
              </w:rPr>
            </w:pPr>
            <w:r w:rsidRPr="001D254E">
              <w:rPr>
                <w:rFonts w:eastAsia="Calibri"/>
                <w:lang w:eastAsia="en-US"/>
              </w:rPr>
              <w:t>Atbilstoši Dienesta veselības aprūpes pakalpojumu apmaksas norēķinu sistēmas „Vadības informācijas sistēma” datiem plānveidā saņēmuši onkoloģiskās ķirurģijas, staru terapijas vai ķīmijterapijas pakalpojumu</w:t>
            </w:r>
            <w:r w:rsidRPr="001D254E">
              <w:rPr>
                <w:rFonts w:eastAsia="Calibri"/>
                <w:vertAlign w:val="superscript"/>
                <w:lang w:eastAsia="en-US"/>
              </w:rPr>
              <w:t>4</w:t>
            </w:r>
            <w:r w:rsidRPr="001D254E">
              <w:rPr>
                <w:rFonts w:eastAsia="Calibri"/>
                <w:lang w:eastAsia="en-US"/>
              </w:rPr>
              <w:t xml:space="preserve"> unikālo pacientu skaits</w:t>
            </w:r>
            <w:r w:rsidRPr="001D254E">
              <w:rPr>
                <w:rFonts w:eastAsia="Calibri"/>
                <w:vertAlign w:val="superscript"/>
                <w:lang w:eastAsia="en-US"/>
              </w:rPr>
              <w:t>5</w:t>
            </w:r>
            <w:r w:rsidRPr="001D254E">
              <w:rPr>
                <w:rFonts w:eastAsia="Calibri"/>
                <w:lang w:eastAsia="en-US"/>
              </w:rPr>
              <w:t>, kas 28 dienu periodā pēc ambulatorā konsīlija (terapijas taktikas pieņemšana), plānveidā saņēmuši onkoloģiskās ķirurģijas, staru terapijas vai ķīmijterapijas pakalpojumu</w:t>
            </w:r>
            <w:r w:rsidRPr="001D254E">
              <w:rPr>
                <w:rFonts w:eastAsia="Calibri"/>
                <w:vertAlign w:val="superscript"/>
                <w:lang w:eastAsia="en-US"/>
              </w:rPr>
              <w:t>6</w:t>
            </w:r>
            <w:r w:rsidRPr="001D254E">
              <w:rPr>
                <w:rFonts w:eastAsia="Calibri"/>
                <w:lang w:eastAsia="en-US"/>
              </w:rPr>
              <w:t xml:space="preserve">/ kopējais unikālo pacientu skaits pacientu skaits, kam bijis konsīlijs (terapijas taktikas pieņemšana) izteikts %. Rezultātā tiek iegūts unikālo pacientu procentuālais īpatsvars, kurš pēc šī </w:t>
            </w:r>
            <w:r w:rsidR="00041609">
              <w:rPr>
                <w:rFonts w:eastAsia="Calibri"/>
                <w:lang w:eastAsia="en-US"/>
              </w:rPr>
              <w:t xml:space="preserve">dokumenta </w:t>
            </w:r>
            <w:r w:rsidRPr="001D254E">
              <w:rPr>
                <w:rFonts w:eastAsia="Calibri"/>
                <w:lang w:eastAsia="en-US"/>
              </w:rPr>
              <w:t>2.5.apakšpunkta mērķa rādītāja vērtējams kā pieņemams, uzraugāms vai nepieņemams.</w:t>
            </w:r>
          </w:p>
        </w:tc>
      </w:tr>
      <w:tr w:rsidR="007A487F" w:rsidRPr="007B0B5C" w:rsidTr="007B0B5C">
        <w:tc>
          <w:tcPr>
            <w:tcW w:w="992" w:type="dxa"/>
          </w:tcPr>
          <w:p w:rsidR="007A487F" w:rsidRPr="007A487F" w:rsidRDefault="007A487F" w:rsidP="007A487F">
            <w:pPr>
              <w:spacing w:after="160" w:line="259" w:lineRule="auto"/>
              <w:contextualSpacing/>
              <w:rPr>
                <w:rFonts w:eastAsia="Calibri"/>
                <w:lang w:eastAsia="en-US"/>
              </w:rPr>
            </w:pPr>
            <w:r w:rsidRPr="007A487F">
              <w:rPr>
                <w:rFonts w:eastAsia="Calibri"/>
                <w:lang w:eastAsia="en-US"/>
              </w:rPr>
              <w:t>1.6.</w:t>
            </w:r>
          </w:p>
        </w:tc>
        <w:tc>
          <w:tcPr>
            <w:tcW w:w="2410" w:type="dxa"/>
          </w:tcPr>
          <w:p w:rsidR="007A487F" w:rsidRPr="007A487F" w:rsidRDefault="007A487F" w:rsidP="007A487F">
            <w:pPr>
              <w:spacing w:after="160" w:line="259" w:lineRule="auto"/>
              <w:contextualSpacing/>
              <w:jc w:val="both"/>
              <w:rPr>
                <w:rFonts w:eastAsia="Calibri"/>
                <w:lang w:eastAsia="en-US"/>
              </w:rPr>
            </w:pPr>
            <w:r w:rsidRPr="007A487F">
              <w:rPr>
                <w:rFonts w:eastAsia="Calibri"/>
                <w:lang w:eastAsia="en-US"/>
              </w:rPr>
              <w:t>Pacientu sūdzību, kas iesniegta Veselības inspekcijā, procentuālais īpatsvars no kopējā pakalpojumu skaita</w:t>
            </w:r>
          </w:p>
        </w:tc>
        <w:tc>
          <w:tcPr>
            <w:tcW w:w="5386" w:type="dxa"/>
          </w:tcPr>
          <w:p w:rsidR="007A487F" w:rsidRPr="007A487F" w:rsidRDefault="007A487F" w:rsidP="007A487F">
            <w:pPr>
              <w:spacing w:after="160" w:line="259" w:lineRule="auto"/>
              <w:contextualSpacing/>
              <w:jc w:val="both"/>
              <w:rPr>
                <w:rFonts w:eastAsia="Calibri"/>
                <w:lang w:eastAsia="en-US"/>
              </w:rPr>
            </w:pPr>
            <w:r w:rsidRPr="007A487F">
              <w:rPr>
                <w:rFonts w:eastAsiaTheme="minorHAnsi"/>
                <w:lang w:eastAsia="en-US"/>
              </w:rPr>
              <w:t xml:space="preserve">Pacientu sūdzību, kas iesniegta Veselības inspekcijā, skaits par </w:t>
            </w:r>
            <w:r w:rsidRPr="007A487F">
              <w:rPr>
                <w:rFonts w:eastAsia="Calibri"/>
                <w:lang w:eastAsia="en-US"/>
              </w:rPr>
              <w:t>ķirurģisko pakalpojumu sniegšanu onkoloģijā</w:t>
            </w:r>
            <w:r w:rsidRPr="007A487F">
              <w:rPr>
                <w:rFonts w:eastAsiaTheme="minorHAnsi"/>
                <w:lang w:eastAsia="en-US"/>
              </w:rPr>
              <w:t xml:space="preserve"> / kopējais ķirurģisko onkoloģisko hospitalizāciju skaits iestādē izteikts %.</w:t>
            </w:r>
            <w:r w:rsidRPr="007A487F">
              <w:rPr>
                <w:rFonts w:eastAsiaTheme="minorHAnsi"/>
                <w:vertAlign w:val="superscript"/>
                <w:lang w:eastAsia="en-US"/>
              </w:rPr>
              <w:t>.</w:t>
            </w:r>
            <w:r w:rsidRPr="007A487F">
              <w:rPr>
                <w:rFonts w:eastAsiaTheme="minorHAnsi"/>
                <w:color w:val="000000"/>
                <w:lang w:eastAsia="en-US"/>
              </w:rPr>
              <w:t xml:space="preserve">Rezultātā tiek iegūts </w:t>
            </w:r>
            <w:r w:rsidRPr="007A487F">
              <w:rPr>
                <w:rFonts w:eastAsiaTheme="minorHAnsi"/>
                <w:lang w:eastAsia="en-US"/>
              </w:rPr>
              <w:t xml:space="preserve">sūdzību procentuālais īpatsvars, kurš pēc </w:t>
            </w:r>
            <w:r w:rsidRPr="007A487F">
              <w:rPr>
                <w:rFonts w:eastAsia="Calibri"/>
                <w:lang w:eastAsia="en-US"/>
              </w:rPr>
              <w:t xml:space="preserve">šī </w:t>
            </w:r>
            <w:r w:rsidR="00041609">
              <w:rPr>
                <w:rFonts w:eastAsia="Calibri"/>
                <w:lang w:eastAsia="en-US"/>
              </w:rPr>
              <w:t xml:space="preserve">dokumenta </w:t>
            </w:r>
            <w:r w:rsidRPr="007A487F">
              <w:rPr>
                <w:rFonts w:eastAsia="Calibri"/>
                <w:lang w:eastAsia="en-US"/>
              </w:rPr>
              <w:t>2.</w:t>
            </w:r>
            <w:r w:rsidRPr="007A487F">
              <w:rPr>
                <w:rFonts w:eastAsiaTheme="minorHAnsi"/>
                <w:lang w:eastAsia="en-US"/>
              </w:rPr>
              <w:t>6.apakšpunkta mērķa rādītāja vērtējams kā pieņemams, uzraugāms vai nepieņemams</w:t>
            </w:r>
          </w:p>
        </w:tc>
      </w:tr>
    </w:tbl>
    <w:p w:rsidR="007A487F" w:rsidRPr="007A487F" w:rsidRDefault="007A487F" w:rsidP="007B0B5C">
      <w:pPr>
        <w:spacing w:after="160" w:line="259" w:lineRule="auto"/>
        <w:ind w:left="426" w:right="-568" w:hanging="142"/>
        <w:contextualSpacing/>
        <w:jc w:val="both"/>
        <w:rPr>
          <w:rFonts w:eastAsia="Calibri"/>
          <w:i/>
          <w:sz w:val="22"/>
          <w:szCs w:val="22"/>
          <w:lang w:eastAsia="en-US"/>
        </w:rPr>
      </w:pPr>
      <w:r w:rsidRPr="007A487F">
        <w:rPr>
          <w:rFonts w:eastAsia="Calibri"/>
          <w:b/>
          <w:sz w:val="22"/>
          <w:szCs w:val="22"/>
          <w:vertAlign w:val="superscript"/>
          <w:lang w:eastAsia="en-US"/>
        </w:rPr>
        <w:t>1</w:t>
      </w:r>
      <w:r w:rsidRPr="007A487F">
        <w:rPr>
          <w:rFonts w:eastAsia="Calibri"/>
          <w:i/>
          <w:sz w:val="22"/>
          <w:szCs w:val="22"/>
          <w:lang w:eastAsia="en-US"/>
        </w:rPr>
        <w:tab/>
        <w:t>Dienesta veselības aprūpes pakalpojumu apmaksas norēķinu sistēmā „Vadības informācijas sistēma” stacionārajiem pacientiem ar pamata izrakstīšanās diagnozi pēc SSK-10 C00-C80 un C97 atlasa visas attiecīgajā ārstniecības iestādē gada laikā veiktās plānveidā un neatliekami veiktās manipulācijas (atbilstoši pielikumā pievienotajam sarakstam) dalījumā pa lokalizācijas veidiem.</w:t>
      </w:r>
    </w:p>
    <w:p w:rsidR="007A487F" w:rsidRPr="007A487F" w:rsidRDefault="007A487F" w:rsidP="007B0B5C">
      <w:pPr>
        <w:spacing w:after="160" w:line="259" w:lineRule="auto"/>
        <w:ind w:left="426" w:right="-568" w:hanging="142"/>
        <w:contextualSpacing/>
        <w:jc w:val="both"/>
        <w:rPr>
          <w:rFonts w:eastAsia="Calibri"/>
          <w:i/>
          <w:sz w:val="8"/>
          <w:szCs w:val="8"/>
          <w:lang w:eastAsia="en-US"/>
        </w:rPr>
      </w:pPr>
    </w:p>
    <w:p w:rsidR="007A487F" w:rsidRPr="007A487F" w:rsidRDefault="007A487F" w:rsidP="007B0B5C">
      <w:pPr>
        <w:spacing w:after="160" w:line="259" w:lineRule="auto"/>
        <w:ind w:left="426" w:right="-568" w:hanging="142"/>
        <w:contextualSpacing/>
        <w:jc w:val="both"/>
        <w:rPr>
          <w:rFonts w:eastAsia="Calibri"/>
          <w:i/>
          <w:sz w:val="22"/>
          <w:szCs w:val="22"/>
          <w:lang w:eastAsia="en-US"/>
        </w:rPr>
      </w:pPr>
      <w:r w:rsidRPr="007A487F">
        <w:rPr>
          <w:rFonts w:eastAsia="Calibri"/>
          <w:b/>
          <w:sz w:val="22"/>
          <w:szCs w:val="22"/>
          <w:vertAlign w:val="superscript"/>
          <w:lang w:eastAsia="en-US"/>
        </w:rPr>
        <w:t>2</w:t>
      </w:r>
      <w:r w:rsidRPr="007A487F">
        <w:rPr>
          <w:rFonts w:eastAsia="Calibri"/>
          <w:i/>
          <w:sz w:val="22"/>
          <w:szCs w:val="22"/>
          <w:lang w:eastAsia="en-US"/>
        </w:rPr>
        <w:tab/>
        <w:t xml:space="preserve">Iegūto manipulāciju skaitu dala ar minimālo manipulāciju skaitu, reizina ar 100 un iegūto rezultātu salīdzina ar šī </w:t>
      </w:r>
      <w:r w:rsidR="007B0B5C">
        <w:rPr>
          <w:rFonts w:eastAsia="Calibri"/>
          <w:i/>
          <w:sz w:val="22"/>
          <w:szCs w:val="22"/>
          <w:lang w:eastAsia="en-US"/>
        </w:rPr>
        <w:t xml:space="preserve">dokumenta </w:t>
      </w:r>
      <w:r w:rsidRPr="007A487F">
        <w:rPr>
          <w:rFonts w:eastAsia="Calibri"/>
          <w:i/>
          <w:sz w:val="22"/>
          <w:szCs w:val="22"/>
          <w:lang w:eastAsia="en-US"/>
        </w:rPr>
        <w:t>2. punktā norādītajām attiecīgajām kritēriju robežvērtībām.</w:t>
      </w:r>
    </w:p>
    <w:p w:rsidR="007A487F" w:rsidRPr="007A487F" w:rsidRDefault="007A487F" w:rsidP="007B0B5C">
      <w:pPr>
        <w:spacing w:after="160" w:line="259" w:lineRule="auto"/>
        <w:ind w:left="426" w:right="-568" w:hanging="142"/>
        <w:contextualSpacing/>
        <w:jc w:val="both"/>
        <w:rPr>
          <w:rFonts w:eastAsia="Calibri"/>
          <w:i/>
          <w:sz w:val="8"/>
          <w:szCs w:val="8"/>
          <w:lang w:eastAsia="en-US"/>
        </w:rPr>
      </w:pPr>
    </w:p>
    <w:p w:rsidR="007A487F" w:rsidRPr="007A487F" w:rsidRDefault="007A487F" w:rsidP="007B0B5C">
      <w:pPr>
        <w:spacing w:after="160" w:line="259" w:lineRule="auto"/>
        <w:ind w:left="426" w:right="-568" w:hanging="142"/>
        <w:contextualSpacing/>
        <w:jc w:val="both"/>
        <w:rPr>
          <w:rFonts w:eastAsia="Calibri"/>
          <w:i/>
          <w:sz w:val="22"/>
          <w:szCs w:val="22"/>
          <w:lang w:eastAsia="en-US"/>
        </w:rPr>
      </w:pPr>
      <w:r w:rsidRPr="007A487F">
        <w:rPr>
          <w:rFonts w:eastAsia="Calibri"/>
          <w:b/>
          <w:sz w:val="22"/>
          <w:szCs w:val="22"/>
          <w:vertAlign w:val="superscript"/>
          <w:lang w:eastAsia="en-US"/>
        </w:rPr>
        <w:t>3</w:t>
      </w:r>
      <w:r w:rsidRPr="007A487F">
        <w:rPr>
          <w:rFonts w:eastAsia="Calibri"/>
          <w:b/>
          <w:sz w:val="22"/>
          <w:szCs w:val="22"/>
          <w:vertAlign w:val="superscript"/>
          <w:lang w:eastAsia="en-US"/>
        </w:rPr>
        <w:tab/>
      </w:r>
      <w:r w:rsidRPr="007A487F">
        <w:rPr>
          <w:rFonts w:eastAsia="Calibri"/>
          <w:i/>
          <w:sz w:val="22"/>
          <w:szCs w:val="22"/>
          <w:lang w:eastAsia="en-US"/>
        </w:rPr>
        <w:t>Periodā no 28 dienas pirms operācijas veikšanas datuma līdz operācijas veikšanas datumam ieskaitot ambulatorā talonā vai stacionārajā uzskaites dokumentā ir norādīta manipulācija 60218 ”Ārstu konsilijs (līdz četriem speciālistiem) terapijas taktikas pieņemšanai pacientam ar pirmreizēji diagnosticētu onkoloģisko slimību. Iekļauta samaksa par visu konsilijā iesaistīto darbu. Vienam pacientam vienu reizi norāda konsilija vadītājs”.</w:t>
      </w:r>
    </w:p>
    <w:p w:rsidR="007A487F" w:rsidRPr="007A487F" w:rsidRDefault="007A487F" w:rsidP="007B0B5C">
      <w:pPr>
        <w:spacing w:after="160" w:line="259" w:lineRule="auto"/>
        <w:ind w:left="426" w:right="-568" w:hanging="142"/>
        <w:contextualSpacing/>
        <w:jc w:val="both"/>
        <w:rPr>
          <w:rFonts w:eastAsia="Calibri"/>
          <w:i/>
          <w:sz w:val="8"/>
          <w:szCs w:val="8"/>
          <w:lang w:eastAsia="en-US"/>
        </w:rPr>
      </w:pPr>
    </w:p>
    <w:p w:rsidR="007A487F" w:rsidRPr="007A487F" w:rsidRDefault="007A487F" w:rsidP="007B0B5C">
      <w:pPr>
        <w:spacing w:after="160" w:line="259" w:lineRule="auto"/>
        <w:ind w:left="426" w:right="-568" w:hanging="142"/>
        <w:contextualSpacing/>
        <w:jc w:val="both"/>
        <w:rPr>
          <w:rFonts w:eastAsia="Calibri"/>
          <w:i/>
          <w:sz w:val="22"/>
          <w:szCs w:val="22"/>
          <w:lang w:eastAsia="en-US"/>
        </w:rPr>
      </w:pPr>
      <w:r w:rsidRPr="007A487F">
        <w:rPr>
          <w:rFonts w:eastAsia="Calibri"/>
          <w:b/>
          <w:sz w:val="22"/>
          <w:szCs w:val="22"/>
          <w:vertAlign w:val="superscript"/>
          <w:lang w:eastAsia="en-US"/>
        </w:rPr>
        <w:t>4</w:t>
      </w:r>
      <w:r w:rsidRPr="007A487F">
        <w:rPr>
          <w:rFonts w:eastAsia="Calibri"/>
          <w:b/>
          <w:sz w:val="22"/>
          <w:szCs w:val="22"/>
          <w:vertAlign w:val="superscript"/>
          <w:lang w:eastAsia="en-US"/>
        </w:rPr>
        <w:tab/>
      </w:r>
      <w:r w:rsidRPr="007A487F">
        <w:rPr>
          <w:rFonts w:eastAsia="Calibri"/>
          <w:i/>
          <w:sz w:val="22"/>
          <w:szCs w:val="22"/>
          <w:lang w:eastAsia="en-US"/>
        </w:rPr>
        <w:t>Tiek atlasītas hospitalizācijas ar vismaz vienu no šādiem kritērijiem:</w:t>
      </w:r>
    </w:p>
    <w:p w:rsidR="007A487F" w:rsidRPr="007A487F" w:rsidRDefault="007A487F" w:rsidP="007B0B5C">
      <w:pPr>
        <w:spacing w:after="160" w:line="259" w:lineRule="auto"/>
        <w:ind w:left="567" w:right="-568" w:hanging="141"/>
        <w:contextualSpacing/>
        <w:jc w:val="both"/>
        <w:rPr>
          <w:rFonts w:eastAsia="Calibri"/>
          <w:i/>
          <w:sz w:val="22"/>
          <w:szCs w:val="22"/>
          <w:lang w:eastAsia="en-US"/>
        </w:rPr>
      </w:pPr>
      <w:r w:rsidRPr="007A487F">
        <w:rPr>
          <w:rFonts w:eastAsia="Calibri"/>
          <w:i/>
          <w:sz w:val="22"/>
          <w:szCs w:val="22"/>
          <w:lang w:eastAsia="en-US"/>
        </w:rPr>
        <w:t>-</w:t>
      </w:r>
      <w:r w:rsidRPr="007A487F">
        <w:rPr>
          <w:rFonts w:eastAsia="Calibri"/>
          <w:i/>
          <w:sz w:val="22"/>
          <w:szCs w:val="22"/>
          <w:lang w:eastAsia="en-US"/>
        </w:rPr>
        <w:tab/>
        <w:t>saņemts pakalpojums pakalpojumu programmā “Staru terapija” vai “</w:t>
      </w:r>
      <w:proofErr w:type="spellStart"/>
      <w:r w:rsidRPr="007A487F">
        <w:rPr>
          <w:rFonts w:eastAsia="Calibri"/>
          <w:i/>
          <w:sz w:val="22"/>
          <w:szCs w:val="22"/>
          <w:lang w:eastAsia="en-US"/>
        </w:rPr>
        <w:t>Radioķirurģija</w:t>
      </w:r>
      <w:proofErr w:type="spellEnd"/>
      <w:r w:rsidRPr="007A487F">
        <w:rPr>
          <w:rFonts w:eastAsia="Calibri"/>
          <w:i/>
          <w:sz w:val="22"/>
          <w:szCs w:val="22"/>
          <w:lang w:eastAsia="en-US"/>
        </w:rPr>
        <w:t xml:space="preserve">, </w:t>
      </w:r>
      <w:proofErr w:type="spellStart"/>
      <w:r w:rsidRPr="007A487F">
        <w:rPr>
          <w:rFonts w:eastAsia="Calibri"/>
          <w:i/>
          <w:sz w:val="22"/>
          <w:szCs w:val="22"/>
          <w:lang w:eastAsia="en-US"/>
        </w:rPr>
        <w:t>stereotaktiskā</w:t>
      </w:r>
      <w:proofErr w:type="spellEnd"/>
      <w:r w:rsidRPr="007A487F">
        <w:rPr>
          <w:rFonts w:eastAsia="Calibri"/>
          <w:i/>
          <w:sz w:val="22"/>
          <w:szCs w:val="22"/>
          <w:lang w:eastAsia="en-US"/>
        </w:rPr>
        <w:t xml:space="preserve"> staru terapija un staru terapija ar augsti tehnoloģiskām apstarošanas metodēm” vai “Ķīmijterapija bērniem” vai “Ķīmijterapija pieaugušajiem”, vai</w:t>
      </w:r>
    </w:p>
    <w:p w:rsidR="007A487F" w:rsidRPr="007A487F" w:rsidRDefault="007A487F" w:rsidP="007B0B5C">
      <w:pPr>
        <w:spacing w:after="160" w:line="259" w:lineRule="auto"/>
        <w:ind w:left="567" w:right="-568" w:hanging="141"/>
        <w:contextualSpacing/>
        <w:jc w:val="both"/>
        <w:rPr>
          <w:rFonts w:eastAsia="Calibri"/>
          <w:i/>
          <w:sz w:val="22"/>
          <w:szCs w:val="22"/>
          <w:lang w:eastAsia="en-US"/>
        </w:rPr>
      </w:pPr>
      <w:r w:rsidRPr="007A487F">
        <w:rPr>
          <w:rFonts w:eastAsia="Calibri"/>
          <w:i/>
          <w:sz w:val="22"/>
          <w:szCs w:val="22"/>
          <w:lang w:eastAsia="en-US"/>
        </w:rPr>
        <w:t>-</w:t>
      </w:r>
      <w:r w:rsidRPr="007A487F">
        <w:rPr>
          <w:rFonts w:eastAsia="Calibri"/>
          <w:i/>
          <w:sz w:val="22"/>
          <w:szCs w:val="22"/>
          <w:lang w:eastAsia="en-US"/>
        </w:rPr>
        <w:tab/>
        <w:t>pacientam ar pamata izrakstīšanās diagnozi C00-C97 ir veikta kāda no onkoloģiskām operācijām (atbilstoši pielikumā minētajam manipulāciju sarakstam).</w:t>
      </w:r>
    </w:p>
    <w:p w:rsidR="007A487F" w:rsidRPr="007A487F" w:rsidRDefault="007A487F" w:rsidP="007B0B5C">
      <w:pPr>
        <w:spacing w:after="160" w:line="259" w:lineRule="auto"/>
        <w:ind w:left="426" w:right="-568" w:hanging="142"/>
        <w:contextualSpacing/>
        <w:jc w:val="both"/>
        <w:rPr>
          <w:rFonts w:eastAsia="Calibri"/>
          <w:i/>
          <w:sz w:val="8"/>
          <w:szCs w:val="8"/>
          <w:lang w:eastAsia="en-US"/>
        </w:rPr>
      </w:pPr>
    </w:p>
    <w:p w:rsidR="007A487F" w:rsidRPr="007A487F" w:rsidRDefault="007A487F" w:rsidP="007B0B5C">
      <w:pPr>
        <w:spacing w:after="160" w:line="259" w:lineRule="auto"/>
        <w:ind w:left="426" w:right="-568" w:hanging="142"/>
        <w:contextualSpacing/>
        <w:jc w:val="both"/>
        <w:rPr>
          <w:rFonts w:eastAsia="Calibri"/>
          <w:i/>
          <w:sz w:val="22"/>
          <w:szCs w:val="22"/>
          <w:lang w:eastAsia="en-US"/>
        </w:rPr>
      </w:pPr>
      <w:r w:rsidRPr="007A487F">
        <w:rPr>
          <w:rFonts w:eastAsia="Calibri"/>
          <w:b/>
          <w:sz w:val="22"/>
          <w:szCs w:val="22"/>
          <w:vertAlign w:val="superscript"/>
          <w:lang w:eastAsia="en-US"/>
        </w:rPr>
        <w:t>5</w:t>
      </w:r>
      <w:r w:rsidRPr="007A487F">
        <w:rPr>
          <w:rFonts w:eastAsia="Calibri"/>
          <w:b/>
          <w:sz w:val="22"/>
          <w:szCs w:val="22"/>
          <w:vertAlign w:val="superscript"/>
          <w:lang w:eastAsia="en-US"/>
        </w:rPr>
        <w:tab/>
      </w:r>
      <w:r w:rsidRPr="007A487F">
        <w:rPr>
          <w:rFonts w:eastAsia="Calibri"/>
          <w:i/>
          <w:sz w:val="22"/>
          <w:szCs w:val="22"/>
          <w:lang w:eastAsia="en-US"/>
        </w:rPr>
        <w:t>Atlasa visus unikālos pacientus, kas plānveidā saņēmuši onkoloģiskās ķirurģijas, staru terapijas vai ķīmijterapijas pakalpojumu, kam NVD Veselības aprūpes un pakalpojumu apmaksas norēķinu sistēmā ir ambulators talons, kurā norādīta manipulācija 60218 ”Ārstu konsilijs (līdz četriem speciālistiem) terapijas taktikas pieņemšanai pacientam ar pirmreizēji diagnosticētu onkoloģisko slimību. Iekļauta samaksa par visu konsilijā iesaistīto darbu. Vienam pacientam vienu reizi norāda konsilija vadītājs” un, kas periodā no konsīlija līdz plāna onkoloģiskās ķirurģijas, staru terapijas vai ķīmijterapijas pakalpojuma nav jau saņēmuši stacionāro vai ambulatoro onkoloģisko ārstēšanu.</w:t>
      </w:r>
    </w:p>
    <w:p w:rsidR="007A487F" w:rsidRPr="007A487F" w:rsidRDefault="007A487F" w:rsidP="007B0B5C">
      <w:pPr>
        <w:spacing w:after="160" w:line="259" w:lineRule="auto"/>
        <w:ind w:left="426" w:right="-568" w:hanging="142"/>
        <w:contextualSpacing/>
        <w:jc w:val="both"/>
        <w:rPr>
          <w:rFonts w:eastAsia="Calibri"/>
          <w:i/>
          <w:sz w:val="8"/>
          <w:szCs w:val="8"/>
          <w:lang w:eastAsia="en-US"/>
        </w:rPr>
      </w:pPr>
    </w:p>
    <w:p w:rsidR="007A487F" w:rsidRPr="007A487F" w:rsidRDefault="007A487F" w:rsidP="007B0B5C">
      <w:pPr>
        <w:ind w:left="426" w:right="-567" w:hanging="142"/>
        <w:contextualSpacing/>
        <w:jc w:val="both"/>
        <w:rPr>
          <w:rFonts w:eastAsia="Calibri"/>
          <w:i/>
          <w:sz w:val="22"/>
          <w:szCs w:val="22"/>
          <w:lang w:eastAsia="en-US"/>
        </w:rPr>
      </w:pPr>
      <w:r w:rsidRPr="007A487F">
        <w:rPr>
          <w:rFonts w:eastAsia="Calibri"/>
          <w:b/>
          <w:sz w:val="22"/>
          <w:szCs w:val="22"/>
          <w:vertAlign w:val="superscript"/>
          <w:lang w:eastAsia="en-US"/>
        </w:rPr>
        <w:t>6</w:t>
      </w:r>
      <w:r w:rsidRPr="007A487F">
        <w:rPr>
          <w:rFonts w:eastAsia="Calibri"/>
          <w:i/>
          <w:sz w:val="22"/>
          <w:szCs w:val="22"/>
          <w:lang w:eastAsia="en-US"/>
        </w:rPr>
        <w:tab/>
        <w:t>28 dienu periodu skaita no ambulatorā talona, kurā uzrādīta konsīlija manipulācija, epizodes beigu datuma līdz plānveida stacionārās onkoloģijas ārstēšanas hospitalizācijas sākuma datumam;</w:t>
      </w:r>
    </w:p>
    <w:p w:rsidR="007A487F" w:rsidRPr="00475302" w:rsidRDefault="007A487F" w:rsidP="007A487F">
      <w:pPr>
        <w:spacing w:after="100" w:afterAutospacing="1"/>
        <w:ind w:left="1004"/>
        <w:contextualSpacing/>
        <w:rPr>
          <w:b/>
          <w:highlight w:val="yellow"/>
          <w:lang w:eastAsia="en-US"/>
        </w:rPr>
      </w:pPr>
    </w:p>
    <w:p w:rsidR="007A487F" w:rsidRPr="007A487F" w:rsidRDefault="007A487F" w:rsidP="007B0B5C">
      <w:pPr>
        <w:spacing w:after="160" w:line="259" w:lineRule="auto"/>
        <w:ind w:left="284" w:hanging="284"/>
        <w:contextualSpacing/>
        <w:jc w:val="both"/>
        <w:rPr>
          <w:rFonts w:eastAsia="Calibri"/>
          <w:lang w:eastAsia="en-US"/>
        </w:rPr>
      </w:pPr>
      <w:r w:rsidRPr="008F278A">
        <w:rPr>
          <w:rFonts w:eastAsia="Calibri"/>
          <w:b/>
          <w:lang w:eastAsia="en-US"/>
        </w:rPr>
        <w:t>2.</w:t>
      </w:r>
      <w:r w:rsidRPr="008F278A">
        <w:rPr>
          <w:rFonts w:eastAsia="Calibri"/>
          <w:b/>
          <w:lang w:eastAsia="en-US"/>
        </w:rPr>
        <w:tab/>
      </w:r>
      <w:r w:rsidR="008F278A" w:rsidRPr="007B0B5C">
        <w:t>Plānveida stacionāro onkoloģisko pakalpojumu sniedzēju darbība</w:t>
      </w:r>
      <w:r w:rsidR="008F278A">
        <w:t xml:space="preserve">s vērtēšanas </w:t>
      </w:r>
      <w:r w:rsidRPr="007A487F">
        <w:rPr>
          <w:rFonts w:eastAsia="Calibri"/>
          <w:lang w:eastAsia="en-US"/>
        </w:rPr>
        <w:t>kritēriju robežvērtības:</w:t>
      </w:r>
    </w:p>
    <w:p w:rsidR="007A487F" w:rsidRPr="007A487F" w:rsidRDefault="007A487F" w:rsidP="007A487F">
      <w:pPr>
        <w:ind w:left="646" w:right="28"/>
        <w:jc w:val="both"/>
        <w:rPr>
          <w:rFonts w:eastAsia="Calibri"/>
          <w:b/>
          <w:sz w:val="10"/>
          <w:szCs w:val="10"/>
          <w:highlight w:val="yellow"/>
          <w:lang w:eastAsia="en-US"/>
        </w:rPr>
      </w:pPr>
    </w:p>
    <w:tbl>
      <w:tblPr>
        <w:tblStyle w:val="TableGrid15"/>
        <w:tblW w:w="10485" w:type="dxa"/>
        <w:jc w:val="center"/>
        <w:tblLayout w:type="fixed"/>
        <w:tblLook w:val="04A0" w:firstRow="1" w:lastRow="0" w:firstColumn="1" w:lastColumn="0" w:noHBand="0" w:noVBand="1"/>
      </w:tblPr>
      <w:tblGrid>
        <w:gridCol w:w="846"/>
        <w:gridCol w:w="1843"/>
        <w:gridCol w:w="850"/>
        <w:gridCol w:w="851"/>
        <w:gridCol w:w="850"/>
        <w:gridCol w:w="851"/>
        <w:gridCol w:w="850"/>
        <w:gridCol w:w="851"/>
        <w:gridCol w:w="992"/>
        <w:gridCol w:w="850"/>
        <w:gridCol w:w="851"/>
      </w:tblGrid>
      <w:tr w:rsidR="007A487F" w:rsidRPr="00041609" w:rsidTr="00FF32A3">
        <w:trPr>
          <w:jc w:val="center"/>
        </w:trPr>
        <w:tc>
          <w:tcPr>
            <w:tcW w:w="846" w:type="dxa"/>
            <w:vMerge w:val="restart"/>
            <w:shd w:val="clear" w:color="auto" w:fill="E7E6E6"/>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Nr.</w:t>
            </w:r>
          </w:p>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p.k.</w:t>
            </w:r>
          </w:p>
        </w:tc>
        <w:tc>
          <w:tcPr>
            <w:tcW w:w="1843" w:type="dxa"/>
            <w:vMerge w:val="restart"/>
            <w:shd w:val="clear" w:color="auto" w:fill="E7E6E6"/>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Kritērija nosaukums</w:t>
            </w:r>
          </w:p>
        </w:tc>
        <w:tc>
          <w:tcPr>
            <w:tcW w:w="7796" w:type="dxa"/>
            <w:gridSpan w:val="9"/>
            <w:shd w:val="clear" w:color="auto" w:fill="E7E6E6"/>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Mērķa rādītāji</w:t>
            </w:r>
          </w:p>
        </w:tc>
      </w:tr>
      <w:tr w:rsidR="007A487F" w:rsidRPr="00041609" w:rsidTr="00FF32A3">
        <w:trPr>
          <w:jc w:val="center"/>
        </w:trPr>
        <w:tc>
          <w:tcPr>
            <w:tcW w:w="846" w:type="dxa"/>
            <w:vMerge/>
            <w:shd w:val="clear" w:color="auto" w:fill="E7E6E6"/>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p>
        </w:tc>
        <w:tc>
          <w:tcPr>
            <w:tcW w:w="1843" w:type="dxa"/>
            <w:vMerge/>
            <w:shd w:val="clear" w:color="auto" w:fill="E7E6E6"/>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p>
        </w:tc>
        <w:tc>
          <w:tcPr>
            <w:tcW w:w="2551" w:type="dxa"/>
            <w:gridSpan w:val="3"/>
            <w:shd w:val="clear" w:color="auto" w:fill="FFCCCC"/>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Nepieņemams</w:t>
            </w:r>
          </w:p>
        </w:tc>
        <w:tc>
          <w:tcPr>
            <w:tcW w:w="2552" w:type="dxa"/>
            <w:gridSpan w:val="3"/>
            <w:shd w:val="clear" w:color="auto" w:fill="FFF2CC"/>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Uzraugāms</w:t>
            </w:r>
          </w:p>
        </w:tc>
        <w:tc>
          <w:tcPr>
            <w:tcW w:w="2693" w:type="dxa"/>
            <w:gridSpan w:val="3"/>
            <w:shd w:val="clear" w:color="auto" w:fill="E2EFD9"/>
            <w:vAlign w:val="center"/>
          </w:tcPr>
          <w:p w:rsidR="007A487F" w:rsidRPr="00041609" w:rsidRDefault="007A487F" w:rsidP="007A487F">
            <w:pPr>
              <w:spacing w:after="100" w:afterAutospacing="1"/>
              <w:contextualSpacing/>
              <w:jc w:val="center"/>
              <w:rPr>
                <w:rFonts w:ascii="Times New Roman" w:eastAsia="Calibri" w:hAnsi="Times New Roman"/>
                <w:b/>
                <w:i/>
                <w:sz w:val="24"/>
                <w:szCs w:val="24"/>
                <w:lang w:eastAsia="en-US"/>
              </w:rPr>
            </w:pPr>
            <w:r w:rsidRPr="00041609">
              <w:rPr>
                <w:rFonts w:ascii="Times New Roman" w:eastAsia="Calibri" w:hAnsi="Times New Roman"/>
                <w:b/>
                <w:i/>
                <w:sz w:val="24"/>
                <w:szCs w:val="24"/>
                <w:lang w:eastAsia="en-US"/>
              </w:rPr>
              <w:t>Pieņemams</w:t>
            </w:r>
          </w:p>
        </w:tc>
      </w:tr>
      <w:tr w:rsidR="007A487F" w:rsidRPr="00041609" w:rsidTr="00041609">
        <w:trPr>
          <w:trHeight w:val="409"/>
          <w:jc w:val="center"/>
        </w:trPr>
        <w:tc>
          <w:tcPr>
            <w:tcW w:w="846" w:type="dxa"/>
            <w:vMerge/>
            <w:shd w:val="clear" w:color="auto" w:fill="E7E6E6"/>
          </w:tcPr>
          <w:p w:rsidR="007A487F" w:rsidRPr="00041609" w:rsidRDefault="007A487F" w:rsidP="007A487F">
            <w:pPr>
              <w:spacing w:after="100" w:afterAutospacing="1"/>
              <w:contextualSpacing/>
              <w:rPr>
                <w:rFonts w:ascii="Times New Roman" w:eastAsia="Calibri" w:hAnsi="Times New Roman"/>
                <w:sz w:val="24"/>
                <w:szCs w:val="24"/>
                <w:lang w:eastAsia="en-US"/>
              </w:rPr>
            </w:pPr>
          </w:p>
        </w:tc>
        <w:tc>
          <w:tcPr>
            <w:tcW w:w="1843" w:type="dxa"/>
            <w:vMerge/>
            <w:shd w:val="clear" w:color="auto" w:fill="E7E6E6"/>
          </w:tcPr>
          <w:p w:rsidR="007A487F" w:rsidRPr="00041609" w:rsidRDefault="007A487F" w:rsidP="007A487F">
            <w:pPr>
              <w:spacing w:after="100" w:afterAutospacing="1"/>
              <w:contextualSpacing/>
              <w:rPr>
                <w:rFonts w:ascii="Times New Roman" w:eastAsia="Calibri" w:hAnsi="Times New Roman"/>
                <w:sz w:val="24"/>
                <w:szCs w:val="24"/>
                <w:lang w:eastAsia="en-US"/>
              </w:rPr>
            </w:pPr>
          </w:p>
        </w:tc>
        <w:tc>
          <w:tcPr>
            <w:tcW w:w="850"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2018.</w:t>
            </w:r>
          </w:p>
        </w:tc>
        <w:tc>
          <w:tcPr>
            <w:tcW w:w="851"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2019.</w:t>
            </w:r>
          </w:p>
        </w:tc>
        <w:tc>
          <w:tcPr>
            <w:tcW w:w="850"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2020.</w:t>
            </w:r>
          </w:p>
        </w:tc>
        <w:tc>
          <w:tcPr>
            <w:tcW w:w="851"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2018.</w:t>
            </w:r>
          </w:p>
        </w:tc>
        <w:tc>
          <w:tcPr>
            <w:tcW w:w="850"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2019.</w:t>
            </w:r>
          </w:p>
        </w:tc>
        <w:tc>
          <w:tcPr>
            <w:tcW w:w="851"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2020.</w:t>
            </w:r>
          </w:p>
        </w:tc>
        <w:tc>
          <w:tcPr>
            <w:tcW w:w="992"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2018.</w:t>
            </w:r>
          </w:p>
        </w:tc>
        <w:tc>
          <w:tcPr>
            <w:tcW w:w="850"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2019.</w:t>
            </w:r>
          </w:p>
        </w:tc>
        <w:tc>
          <w:tcPr>
            <w:tcW w:w="851" w:type="dxa"/>
            <w:shd w:val="clear" w:color="auto" w:fill="FFFFFF"/>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2020.</w:t>
            </w:r>
          </w:p>
        </w:tc>
      </w:tr>
      <w:tr w:rsidR="007A487F" w:rsidRPr="00041609" w:rsidTr="00041609">
        <w:trPr>
          <w:jc w:val="center"/>
        </w:trPr>
        <w:tc>
          <w:tcPr>
            <w:tcW w:w="846" w:type="dxa"/>
          </w:tcPr>
          <w:p w:rsidR="007A487F" w:rsidRPr="00041609" w:rsidRDefault="007A487F" w:rsidP="007A487F">
            <w:pPr>
              <w:spacing w:after="100" w:afterAutospacing="1"/>
              <w:contextualSpacing/>
              <w:rPr>
                <w:rFonts w:ascii="Times New Roman" w:eastAsia="Calibri" w:hAnsi="Times New Roman"/>
                <w:sz w:val="24"/>
                <w:szCs w:val="24"/>
                <w:lang w:eastAsia="en-US"/>
              </w:rPr>
            </w:pPr>
            <w:r w:rsidRPr="00041609">
              <w:rPr>
                <w:rFonts w:ascii="Times New Roman" w:eastAsia="Calibri" w:hAnsi="Times New Roman"/>
                <w:sz w:val="24"/>
                <w:szCs w:val="24"/>
                <w:lang w:eastAsia="en-US"/>
              </w:rPr>
              <w:t>2.1.</w:t>
            </w:r>
          </w:p>
        </w:tc>
        <w:tc>
          <w:tcPr>
            <w:tcW w:w="1843" w:type="dxa"/>
          </w:tcPr>
          <w:p w:rsidR="007A487F" w:rsidRPr="00041609" w:rsidRDefault="00475302" w:rsidP="007D6845">
            <w:pPr>
              <w:spacing w:after="100" w:afterAutospacing="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Š</w:t>
            </w:r>
            <w:r w:rsidR="007A487F" w:rsidRPr="00041609">
              <w:rPr>
                <w:rFonts w:ascii="Times New Roman" w:eastAsia="Calibri" w:hAnsi="Times New Roman"/>
                <w:sz w:val="24"/>
                <w:szCs w:val="24"/>
                <w:lang w:eastAsia="en-US"/>
              </w:rPr>
              <w:t xml:space="preserve">ī </w:t>
            </w:r>
            <w:r w:rsidR="007D6845" w:rsidRPr="00041609">
              <w:rPr>
                <w:rFonts w:ascii="Times New Roman" w:eastAsia="Calibri" w:hAnsi="Times New Roman"/>
                <w:sz w:val="24"/>
                <w:szCs w:val="24"/>
                <w:lang w:eastAsia="en-US"/>
              </w:rPr>
              <w:t xml:space="preserve">dokumenta </w:t>
            </w:r>
            <w:r w:rsidR="007A487F" w:rsidRPr="00041609">
              <w:rPr>
                <w:rFonts w:ascii="Times New Roman" w:eastAsia="Calibri" w:hAnsi="Times New Roman"/>
                <w:sz w:val="24"/>
                <w:szCs w:val="24"/>
                <w:lang w:eastAsia="en-US"/>
              </w:rPr>
              <w:t xml:space="preserve"> </w:t>
            </w:r>
            <w:r w:rsidR="007D6845" w:rsidRPr="00041609">
              <w:rPr>
                <w:rFonts w:ascii="Times New Roman" w:eastAsia="Calibri" w:hAnsi="Times New Roman"/>
                <w:sz w:val="24"/>
                <w:szCs w:val="24"/>
                <w:lang w:eastAsia="en-US"/>
              </w:rPr>
              <w:t>4.</w:t>
            </w:r>
            <w:r w:rsidR="007A487F" w:rsidRPr="00041609">
              <w:rPr>
                <w:rFonts w:ascii="Times New Roman" w:eastAsia="Calibri" w:hAnsi="Times New Roman"/>
                <w:sz w:val="24"/>
                <w:szCs w:val="24"/>
                <w:lang w:eastAsia="en-US"/>
              </w:rPr>
              <w:t>punktā noteikto onkoloģisko operāciju skaita izpilde % dalījumā pa lokalizācijām</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74%</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74%</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74%</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75%-99%</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75%-99%</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75%-99%</w:t>
            </w:r>
          </w:p>
        </w:tc>
        <w:tc>
          <w:tcPr>
            <w:tcW w:w="992"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100% un vairāk</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100% un vairāk</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100% un vairāk</w:t>
            </w:r>
          </w:p>
        </w:tc>
      </w:tr>
      <w:tr w:rsidR="007A487F" w:rsidRPr="00041609" w:rsidTr="00041609">
        <w:trPr>
          <w:jc w:val="center"/>
        </w:trPr>
        <w:tc>
          <w:tcPr>
            <w:tcW w:w="846" w:type="dxa"/>
          </w:tcPr>
          <w:p w:rsidR="007A487F" w:rsidRPr="00041609" w:rsidRDefault="007A487F" w:rsidP="007A487F">
            <w:pPr>
              <w:spacing w:after="100" w:afterAutospacing="1"/>
              <w:contextualSpacing/>
              <w:rPr>
                <w:rFonts w:ascii="Times New Roman" w:eastAsia="Calibri" w:hAnsi="Times New Roman"/>
                <w:sz w:val="24"/>
                <w:szCs w:val="24"/>
                <w:lang w:eastAsia="en-US"/>
              </w:rPr>
            </w:pPr>
            <w:r w:rsidRPr="00041609">
              <w:rPr>
                <w:rFonts w:ascii="Times New Roman" w:eastAsia="Calibri" w:hAnsi="Times New Roman"/>
                <w:sz w:val="24"/>
                <w:szCs w:val="24"/>
                <w:lang w:eastAsia="en-US"/>
              </w:rPr>
              <w:t>6.2.2.</w:t>
            </w:r>
          </w:p>
        </w:tc>
        <w:tc>
          <w:tcPr>
            <w:tcW w:w="1843" w:type="dxa"/>
          </w:tcPr>
          <w:p w:rsidR="007A487F" w:rsidRPr="00041609" w:rsidRDefault="00475302" w:rsidP="007A487F">
            <w:pPr>
              <w:spacing w:after="100" w:afterAutospacing="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R</w:t>
            </w:r>
            <w:r w:rsidR="007A487F" w:rsidRPr="00041609">
              <w:rPr>
                <w:rFonts w:ascii="Times New Roman" w:eastAsia="Calibri" w:hAnsi="Times New Roman"/>
                <w:sz w:val="24"/>
                <w:szCs w:val="24"/>
                <w:lang w:eastAsia="en-US"/>
              </w:rPr>
              <w:t xml:space="preserve">adikālo </w:t>
            </w:r>
            <w:proofErr w:type="spellStart"/>
            <w:r w:rsidR="007A487F" w:rsidRPr="00041609">
              <w:rPr>
                <w:rFonts w:ascii="Times New Roman" w:eastAsia="Calibri" w:hAnsi="Times New Roman"/>
                <w:sz w:val="24"/>
                <w:szCs w:val="24"/>
                <w:lang w:eastAsia="en-US"/>
              </w:rPr>
              <w:t>mastektomiju</w:t>
            </w:r>
            <w:proofErr w:type="spellEnd"/>
            <w:r w:rsidR="007A487F" w:rsidRPr="00041609">
              <w:rPr>
                <w:rFonts w:ascii="Times New Roman" w:eastAsia="Calibri" w:hAnsi="Times New Roman"/>
                <w:sz w:val="24"/>
                <w:szCs w:val="24"/>
                <w:lang w:eastAsia="en-US"/>
              </w:rPr>
              <w:t xml:space="preserve"> procentuālais īpatsvars pacientiem ar diagnozi C50 agrīnā vēža stadijā (1.-2. stadija)</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25% un vairāk</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25% un vairāk</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25% un vairāk</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16%-24%</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16%-24%</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16%-24%</w:t>
            </w:r>
          </w:p>
        </w:tc>
        <w:tc>
          <w:tcPr>
            <w:tcW w:w="992"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15%</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15%</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15%</w:t>
            </w:r>
          </w:p>
        </w:tc>
      </w:tr>
      <w:tr w:rsidR="007A487F" w:rsidRPr="00041609" w:rsidTr="00041609">
        <w:trPr>
          <w:jc w:val="center"/>
        </w:trPr>
        <w:tc>
          <w:tcPr>
            <w:tcW w:w="846" w:type="dxa"/>
          </w:tcPr>
          <w:p w:rsidR="007A487F" w:rsidRPr="00041609" w:rsidRDefault="007A487F" w:rsidP="007A487F">
            <w:pPr>
              <w:spacing w:after="100" w:afterAutospacing="1"/>
              <w:contextualSpacing/>
              <w:rPr>
                <w:rFonts w:ascii="Times New Roman" w:hAnsi="Times New Roman"/>
                <w:sz w:val="24"/>
                <w:szCs w:val="24"/>
                <w:lang w:eastAsia="en-US"/>
              </w:rPr>
            </w:pPr>
            <w:r w:rsidRPr="00041609">
              <w:rPr>
                <w:rFonts w:ascii="Times New Roman" w:hAnsi="Times New Roman"/>
                <w:sz w:val="24"/>
                <w:szCs w:val="24"/>
                <w:lang w:eastAsia="en-US"/>
              </w:rPr>
              <w:t>2.3.</w:t>
            </w:r>
          </w:p>
        </w:tc>
        <w:tc>
          <w:tcPr>
            <w:tcW w:w="1843" w:type="dxa"/>
          </w:tcPr>
          <w:p w:rsidR="007A487F" w:rsidRPr="00041609" w:rsidRDefault="00475302" w:rsidP="001D254E">
            <w:pPr>
              <w:spacing w:after="100" w:afterAutospacing="1"/>
              <w:contextualSpacing/>
              <w:jc w:val="both"/>
              <w:rPr>
                <w:rFonts w:ascii="Times New Roman" w:hAnsi="Times New Roman"/>
                <w:sz w:val="24"/>
                <w:szCs w:val="24"/>
                <w:lang w:eastAsia="en-US"/>
              </w:rPr>
            </w:pPr>
            <w:r>
              <w:rPr>
                <w:rFonts w:ascii="Times New Roman" w:hAnsi="Times New Roman"/>
                <w:sz w:val="24"/>
                <w:szCs w:val="24"/>
                <w:lang w:eastAsia="en-US"/>
              </w:rPr>
              <w:t>Ā</w:t>
            </w:r>
            <w:r w:rsidR="007A487F" w:rsidRPr="00041609">
              <w:rPr>
                <w:rFonts w:ascii="Times New Roman" w:hAnsi="Times New Roman"/>
                <w:sz w:val="24"/>
                <w:szCs w:val="24"/>
                <w:lang w:eastAsia="en-US"/>
              </w:rPr>
              <w:t xml:space="preserve">rstniecības iestādē veikto stacionāro plānveida onkoloģisko operāciju, kuras veic ārstniecības personas, kuras izpilda šī </w:t>
            </w:r>
            <w:r w:rsidR="001D254E" w:rsidRPr="00041609">
              <w:rPr>
                <w:rFonts w:ascii="Times New Roman" w:hAnsi="Times New Roman"/>
                <w:sz w:val="24"/>
                <w:szCs w:val="24"/>
                <w:lang w:eastAsia="en-US"/>
              </w:rPr>
              <w:t>dokumenta</w:t>
            </w:r>
            <w:r w:rsidR="007A487F" w:rsidRPr="00041609">
              <w:rPr>
                <w:rFonts w:ascii="Times New Roman" w:hAnsi="Times New Roman"/>
                <w:sz w:val="24"/>
                <w:szCs w:val="24"/>
                <w:lang w:eastAsia="en-US"/>
              </w:rPr>
              <w:t xml:space="preserve"> </w:t>
            </w:r>
            <w:r w:rsidR="001D254E" w:rsidRPr="00041609">
              <w:rPr>
                <w:rFonts w:ascii="Times New Roman" w:hAnsi="Times New Roman"/>
                <w:sz w:val="24"/>
                <w:szCs w:val="24"/>
                <w:lang w:eastAsia="en-US"/>
              </w:rPr>
              <w:t>3.</w:t>
            </w:r>
            <w:r w:rsidR="007A487F" w:rsidRPr="00041609">
              <w:rPr>
                <w:rFonts w:ascii="Times New Roman" w:hAnsi="Times New Roman"/>
                <w:sz w:val="24"/>
                <w:szCs w:val="24"/>
                <w:lang w:eastAsia="en-US"/>
              </w:rPr>
              <w:t xml:space="preserve">punktā noteiktos </w:t>
            </w:r>
            <w:r w:rsidR="007A487F" w:rsidRPr="00041609">
              <w:rPr>
                <w:rFonts w:ascii="Times New Roman" w:hAnsi="Times New Roman"/>
                <w:sz w:val="24"/>
                <w:szCs w:val="24"/>
                <w:lang w:eastAsia="en-US"/>
              </w:rPr>
              <w:lastRenderedPageBreak/>
              <w:t>apjomus, skaita procentuālais īpatsvars no visām ārstniecības iestādē veiktajām stacionārajām plānveida onkoloģiskajām operācijām dalījumā pa lokalizācijām</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lastRenderedPageBreak/>
              <w:t>līdz 59%</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59%</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59%</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60%-79%</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60%-79%</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60%-79%</w:t>
            </w:r>
          </w:p>
        </w:tc>
        <w:tc>
          <w:tcPr>
            <w:tcW w:w="992"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80% un vairāk</w:t>
            </w:r>
          </w:p>
        </w:tc>
        <w:tc>
          <w:tcPr>
            <w:tcW w:w="850"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80% un vairāk</w:t>
            </w:r>
          </w:p>
        </w:tc>
        <w:tc>
          <w:tcPr>
            <w:tcW w:w="851" w:type="dxa"/>
            <w:shd w:val="clear" w:color="auto" w:fill="FFFFFF"/>
            <w:vAlign w:val="center"/>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80% un vairāk</w:t>
            </w:r>
          </w:p>
        </w:tc>
      </w:tr>
      <w:tr w:rsidR="007A487F" w:rsidRPr="00041609" w:rsidTr="00041609">
        <w:trPr>
          <w:jc w:val="center"/>
        </w:trPr>
        <w:tc>
          <w:tcPr>
            <w:tcW w:w="846" w:type="dxa"/>
          </w:tcPr>
          <w:p w:rsidR="007A487F" w:rsidRPr="00041609" w:rsidRDefault="007A487F" w:rsidP="007A487F">
            <w:pPr>
              <w:spacing w:after="100" w:afterAutospacing="1"/>
              <w:contextualSpacing/>
              <w:rPr>
                <w:rFonts w:ascii="Times New Roman" w:hAnsi="Times New Roman"/>
                <w:sz w:val="24"/>
                <w:szCs w:val="24"/>
                <w:lang w:eastAsia="en-US"/>
              </w:rPr>
            </w:pPr>
            <w:r w:rsidRPr="00041609">
              <w:rPr>
                <w:rFonts w:ascii="Times New Roman" w:hAnsi="Times New Roman"/>
                <w:sz w:val="24"/>
                <w:szCs w:val="24"/>
                <w:lang w:eastAsia="en-US"/>
              </w:rPr>
              <w:t>2.4.</w:t>
            </w:r>
          </w:p>
        </w:tc>
        <w:tc>
          <w:tcPr>
            <w:tcW w:w="1843" w:type="dxa"/>
          </w:tcPr>
          <w:p w:rsidR="007A487F" w:rsidRPr="00041609" w:rsidRDefault="00475302" w:rsidP="007A487F">
            <w:pPr>
              <w:spacing w:after="100" w:afterAutospacing="1"/>
              <w:contextualSpacing/>
              <w:jc w:val="both"/>
              <w:rPr>
                <w:rFonts w:ascii="Times New Roman" w:hAnsi="Times New Roman"/>
                <w:sz w:val="24"/>
                <w:szCs w:val="24"/>
                <w:lang w:eastAsia="en-US"/>
              </w:rPr>
            </w:pPr>
            <w:r>
              <w:rPr>
                <w:rFonts w:ascii="Times New Roman" w:hAnsi="Times New Roman"/>
                <w:sz w:val="24"/>
                <w:szCs w:val="24"/>
                <w:lang w:eastAsia="en-US"/>
              </w:rPr>
              <w:t>P</w:t>
            </w:r>
            <w:r w:rsidR="007A487F" w:rsidRPr="00041609">
              <w:rPr>
                <w:rFonts w:ascii="Times New Roman" w:hAnsi="Times New Roman"/>
                <w:sz w:val="24"/>
                <w:szCs w:val="24"/>
                <w:lang w:eastAsia="en-US"/>
              </w:rPr>
              <w:t>acientu ar pirmreizēji diagnosticētu onkoloģisko slimību procentuālais īpatsvars, kuriem vismaz 28 dienas pirms plānveida onkoloģiskas operācijas, ir bijis konsīlijs (terapijas taktikas pieņemšana)</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70%</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80%</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80%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80%</w:t>
            </w:r>
          </w:p>
        </w:tc>
        <w:tc>
          <w:tcPr>
            <w:tcW w:w="992"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90%</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90%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90%</w:t>
            </w:r>
          </w:p>
        </w:tc>
      </w:tr>
      <w:tr w:rsidR="007A487F" w:rsidRPr="00041609" w:rsidTr="00041609">
        <w:trPr>
          <w:jc w:val="center"/>
        </w:trPr>
        <w:tc>
          <w:tcPr>
            <w:tcW w:w="846" w:type="dxa"/>
          </w:tcPr>
          <w:p w:rsidR="007A487F" w:rsidRPr="00041609" w:rsidRDefault="007A487F" w:rsidP="007A487F">
            <w:pPr>
              <w:spacing w:after="100" w:afterAutospacing="1"/>
              <w:contextualSpacing/>
              <w:rPr>
                <w:rFonts w:ascii="Times New Roman" w:eastAsia="Calibri" w:hAnsi="Times New Roman"/>
                <w:sz w:val="24"/>
                <w:szCs w:val="24"/>
                <w:lang w:eastAsia="en-US"/>
              </w:rPr>
            </w:pPr>
            <w:r w:rsidRPr="00041609">
              <w:rPr>
                <w:rFonts w:ascii="Times New Roman" w:eastAsia="Calibri" w:hAnsi="Times New Roman"/>
                <w:sz w:val="24"/>
                <w:szCs w:val="24"/>
                <w:lang w:eastAsia="en-US"/>
              </w:rPr>
              <w:t>2.5.</w:t>
            </w:r>
          </w:p>
        </w:tc>
        <w:tc>
          <w:tcPr>
            <w:tcW w:w="1843" w:type="dxa"/>
          </w:tcPr>
          <w:p w:rsidR="007A487F" w:rsidRPr="00041609" w:rsidRDefault="00475302" w:rsidP="007A487F">
            <w:pPr>
              <w:spacing w:after="100" w:afterAutospacing="1"/>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U</w:t>
            </w:r>
            <w:r w:rsidR="007A487F" w:rsidRPr="00041609">
              <w:rPr>
                <w:rFonts w:ascii="Times New Roman" w:eastAsia="Calibri" w:hAnsi="Times New Roman"/>
                <w:sz w:val="24"/>
                <w:szCs w:val="24"/>
                <w:lang w:eastAsia="en-US"/>
              </w:rPr>
              <w:t>nikālo pacientu, kuriem plānveida stacionārā onkoloģijas ārstēšana tiek nodrošināta 28 dienu laikā no ambulatorā konsīlija (terapijas taktikas pieņemšanas brīža), procentuālais īpatsvars</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70%</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70%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80%</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80%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80%</w:t>
            </w:r>
          </w:p>
        </w:tc>
        <w:tc>
          <w:tcPr>
            <w:tcW w:w="992"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90%</w:t>
            </w:r>
          </w:p>
        </w:tc>
        <w:tc>
          <w:tcPr>
            <w:tcW w:w="850"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90%</w:t>
            </w:r>
          </w:p>
        </w:tc>
        <w:tc>
          <w:tcPr>
            <w:tcW w:w="851" w:type="dxa"/>
          </w:tcPr>
          <w:p w:rsidR="007A487F" w:rsidRPr="00041609" w:rsidRDefault="007A487F" w:rsidP="007A487F">
            <w:pPr>
              <w:spacing w:after="100" w:afterAutospacing="1"/>
              <w:contextualSpacing/>
              <w:jc w:val="center"/>
              <w:rPr>
                <w:rFonts w:ascii="Times New Roman" w:eastAsia="Calibri" w:hAnsi="Times New Roman"/>
                <w:sz w:val="24"/>
                <w:szCs w:val="24"/>
                <w:lang w:eastAsia="en-US"/>
              </w:rPr>
            </w:pPr>
          </w:p>
          <w:p w:rsidR="007A487F" w:rsidRPr="00041609" w:rsidRDefault="007A487F" w:rsidP="007A487F">
            <w:pPr>
              <w:spacing w:after="100" w:afterAutospacing="1"/>
              <w:contextualSpacing/>
              <w:jc w:val="center"/>
              <w:rPr>
                <w:rFonts w:ascii="Times New Roman" w:eastAsia="Calibri" w:hAnsi="Times New Roman"/>
                <w:sz w:val="24"/>
                <w:szCs w:val="24"/>
                <w:lang w:eastAsia="en-US"/>
              </w:rPr>
            </w:pPr>
            <w:r w:rsidRPr="00041609">
              <w:rPr>
                <w:rFonts w:ascii="Times New Roman" w:eastAsia="Calibri" w:hAnsi="Times New Roman"/>
                <w:sz w:val="24"/>
                <w:szCs w:val="24"/>
                <w:lang w:eastAsia="en-US"/>
              </w:rPr>
              <w:t>līdz 90%</w:t>
            </w:r>
          </w:p>
        </w:tc>
      </w:tr>
      <w:tr w:rsidR="007A487F" w:rsidRPr="00041609" w:rsidTr="00041609">
        <w:trPr>
          <w:jc w:val="center"/>
        </w:trPr>
        <w:tc>
          <w:tcPr>
            <w:tcW w:w="846" w:type="dxa"/>
          </w:tcPr>
          <w:p w:rsidR="007A487F" w:rsidRPr="00041609" w:rsidRDefault="007A487F" w:rsidP="007A487F">
            <w:pPr>
              <w:spacing w:after="100" w:afterAutospacing="1"/>
              <w:contextualSpacing/>
              <w:rPr>
                <w:rFonts w:ascii="Times New Roman" w:hAnsi="Times New Roman"/>
                <w:sz w:val="24"/>
                <w:szCs w:val="24"/>
                <w:lang w:eastAsia="en-US"/>
              </w:rPr>
            </w:pPr>
            <w:r w:rsidRPr="00041609">
              <w:rPr>
                <w:rFonts w:ascii="Times New Roman" w:hAnsi="Times New Roman"/>
                <w:sz w:val="24"/>
                <w:szCs w:val="24"/>
                <w:lang w:eastAsia="en-US"/>
              </w:rPr>
              <w:t>2.6.</w:t>
            </w:r>
          </w:p>
        </w:tc>
        <w:tc>
          <w:tcPr>
            <w:tcW w:w="1843" w:type="dxa"/>
          </w:tcPr>
          <w:p w:rsidR="007A487F" w:rsidRPr="00041609" w:rsidRDefault="00475302" w:rsidP="007A487F">
            <w:pPr>
              <w:spacing w:after="100" w:afterAutospacing="1"/>
              <w:contextualSpacing/>
              <w:jc w:val="both"/>
              <w:rPr>
                <w:rFonts w:ascii="Times New Roman" w:hAnsi="Times New Roman"/>
                <w:sz w:val="24"/>
                <w:szCs w:val="24"/>
                <w:lang w:eastAsia="en-US"/>
              </w:rPr>
            </w:pPr>
            <w:r>
              <w:rPr>
                <w:rFonts w:ascii="Times New Roman" w:hAnsi="Times New Roman"/>
                <w:sz w:val="24"/>
                <w:szCs w:val="24"/>
                <w:lang w:eastAsia="en-US"/>
              </w:rPr>
              <w:t>P</w:t>
            </w:r>
            <w:r w:rsidR="007A487F" w:rsidRPr="00041609">
              <w:rPr>
                <w:rFonts w:ascii="Times New Roman" w:hAnsi="Times New Roman"/>
                <w:sz w:val="24"/>
                <w:szCs w:val="24"/>
                <w:lang w:eastAsia="en-US"/>
              </w:rPr>
              <w:t xml:space="preserve">acientu sūdzību, kas iesniegta Veselības inspekcijā, procentuālais īpatsvars no </w:t>
            </w:r>
            <w:r w:rsidR="007A487F" w:rsidRPr="00041609">
              <w:rPr>
                <w:rFonts w:ascii="Times New Roman" w:hAnsi="Times New Roman"/>
                <w:sz w:val="24"/>
                <w:szCs w:val="24"/>
                <w:lang w:eastAsia="en-US"/>
              </w:rPr>
              <w:lastRenderedPageBreak/>
              <w:t>kopējā pakalpojumu skaita</w:t>
            </w:r>
          </w:p>
        </w:tc>
        <w:tc>
          <w:tcPr>
            <w:tcW w:w="850"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lastRenderedPageBreak/>
              <w:t>5%</w:t>
            </w:r>
          </w:p>
        </w:tc>
        <w:tc>
          <w:tcPr>
            <w:tcW w:w="851"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5%</w:t>
            </w:r>
          </w:p>
        </w:tc>
        <w:tc>
          <w:tcPr>
            <w:tcW w:w="850"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5%</w:t>
            </w:r>
          </w:p>
        </w:tc>
        <w:tc>
          <w:tcPr>
            <w:tcW w:w="851"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3%</w:t>
            </w:r>
          </w:p>
        </w:tc>
        <w:tc>
          <w:tcPr>
            <w:tcW w:w="850"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3%</w:t>
            </w:r>
          </w:p>
        </w:tc>
        <w:tc>
          <w:tcPr>
            <w:tcW w:w="851"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3%</w:t>
            </w:r>
          </w:p>
        </w:tc>
        <w:tc>
          <w:tcPr>
            <w:tcW w:w="992"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1%</w:t>
            </w:r>
          </w:p>
        </w:tc>
        <w:tc>
          <w:tcPr>
            <w:tcW w:w="850" w:type="dxa"/>
          </w:tcPr>
          <w:p w:rsidR="007A487F" w:rsidRPr="00041609" w:rsidRDefault="007A487F" w:rsidP="007A487F">
            <w:pPr>
              <w:spacing w:after="100" w:afterAutospacing="1"/>
              <w:contextualSpacing/>
              <w:jc w:val="center"/>
              <w:rPr>
                <w:rFonts w:ascii="Times New Roman" w:hAnsi="Times New Roman"/>
                <w:sz w:val="24"/>
                <w:szCs w:val="24"/>
                <w:lang w:eastAsia="en-US"/>
              </w:rPr>
            </w:pPr>
            <w:r w:rsidRPr="00041609">
              <w:rPr>
                <w:rFonts w:ascii="Times New Roman" w:hAnsi="Times New Roman"/>
                <w:sz w:val="24"/>
                <w:szCs w:val="24"/>
                <w:lang w:eastAsia="en-US"/>
              </w:rPr>
              <w:t>1%</w:t>
            </w:r>
          </w:p>
        </w:tc>
        <w:tc>
          <w:tcPr>
            <w:tcW w:w="851" w:type="dxa"/>
          </w:tcPr>
          <w:p w:rsidR="007A487F" w:rsidRPr="00041609" w:rsidRDefault="007A487F" w:rsidP="007A487F">
            <w:pPr>
              <w:spacing w:after="100" w:afterAutospacing="1"/>
              <w:contextualSpacing/>
              <w:jc w:val="right"/>
              <w:rPr>
                <w:rFonts w:ascii="Times New Roman" w:hAnsi="Times New Roman"/>
                <w:sz w:val="24"/>
                <w:szCs w:val="24"/>
                <w:lang w:eastAsia="en-US"/>
              </w:rPr>
            </w:pPr>
            <w:r w:rsidRPr="00041609">
              <w:rPr>
                <w:rFonts w:ascii="Times New Roman" w:hAnsi="Times New Roman"/>
                <w:sz w:val="24"/>
                <w:szCs w:val="24"/>
                <w:lang w:eastAsia="en-US"/>
              </w:rPr>
              <w:t>1%</w:t>
            </w:r>
          </w:p>
        </w:tc>
      </w:tr>
    </w:tbl>
    <w:p w:rsidR="007A487F" w:rsidRPr="00475302" w:rsidRDefault="007A487F" w:rsidP="00475302">
      <w:pPr>
        <w:rPr>
          <w:b/>
          <w:bCs/>
          <w:color w:val="000000"/>
          <w:lang w:eastAsia="lv-LV"/>
        </w:rPr>
      </w:pPr>
    </w:p>
    <w:p w:rsidR="007D6845" w:rsidRPr="007D6845" w:rsidRDefault="007D6845" w:rsidP="007D6845">
      <w:pPr>
        <w:pStyle w:val="ListParagraph"/>
        <w:numPr>
          <w:ilvl w:val="0"/>
          <w:numId w:val="3"/>
        </w:numPr>
        <w:spacing w:after="160" w:line="259" w:lineRule="auto"/>
        <w:ind w:left="284" w:hanging="284"/>
        <w:jc w:val="both"/>
        <w:rPr>
          <w:rFonts w:eastAsia="Calibri"/>
          <w:lang w:eastAsia="en-US"/>
        </w:rPr>
      </w:pPr>
      <w:r w:rsidRPr="007D6845">
        <w:rPr>
          <w:rFonts w:eastAsia="Calibri"/>
          <w:lang w:eastAsia="en-US"/>
        </w:rPr>
        <w:t>Ā</w:t>
      </w:r>
      <w:r w:rsidRPr="007D6845">
        <w:rPr>
          <w:rFonts w:eastAsia="Calibri"/>
          <w:lang w:eastAsia="en-US"/>
        </w:rPr>
        <w:t>rstniecības iestādē nodarbināt</w:t>
      </w:r>
      <w:r w:rsidRPr="007D6845">
        <w:rPr>
          <w:rFonts w:eastAsia="Calibri"/>
          <w:lang w:eastAsia="en-US"/>
        </w:rPr>
        <w:t xml:space="preserve">o </w:t>
      </w:r>
      <w:r w:rsidRPr="007D6845">
        <w:rPr>
          <w:rFonts w:eastAsia="Calibri"/>
          <w:lang w:eastAsia="en-US"/>
        </w:rPr>
        <w:t>ķirurg</w:t>
      </w:r>
      <w:r w:rsidRPr="007D6845">
        <w:rPr>
          <w:rFonts w:eastAsia="Calibri"/>
          <w:lang w:eastAsia="en-US"/>
        </w:rPr>
        <w:t xml:space="preserve">u </w:t>
      </w:r>
      <w:r w:rsidRPr="007D6845">
        <w:rPr>
          <w:rFonts w:eastAsia="Calibri"/>
          <w:lang w:eastAsia="en-US"/>
        </w:rPr>
        <w:t>pieredze</w:t>
      </w:r>
      <w:r w:rsidRPr="007D6845">
        <w:rPr>
          <w:rFonts w:eastAsia="Calibri"/>
          <w:lang w:eastAsia="en-US"/>
        </w:rPr>
        <w:t>s apjoms</w:t>
      </w:r>
      <w:r w:rsidRPr="007D6845">
        <w:rPr>
          <w:rFonts w:eastAsia="Calibri"/>
          <w:lang w:eastAsia="en-US"/>
        </w:rPr>
        <w:t xml:space="preserve"> valsts apmaksātu ķirurģisku operāciju veikšanā stacionārajā ārstniecības iestādē pacientam ar jebkādu diagnozi: </w:t>
      </w:r>
    </w:p>
    <w:tbl>
      <w:tblPr>
        <w:tblStyle w:val="Reatabula1"/>
        <w:tblW w:w="8347" w:type="dxa"/>
        <w:tblInd w:w="1004" w:type="dxa"/>
        <w:tblLook w:val="04A0" w:firstRow="1" w:lastRow="0" w:firstColumn="1" w:lastColumn="0" w:noHBand="0" w:noVBand="1"/>
      </w:tblPr>
      <w:tblGrid>
        <w:gridCol w:w="1236"/>
        <w:gridCol w:w="5027"/>
        <w:gridCol w:w="2084"/>
      </w:tblGrid>
      <w:tr w:rsidR="007D6845" w:rsidRPr="007D6845" w:rsidTr="007D6845">
        <w:tc>
          <w:tcPr>
            <w:tcW w:w="1236"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A63C11">
            <w:pPr>
              <w:spacing w:line="256" w:lineRule="auto"/>
              <w:contextualSpacing/>
              <w:jc w:val="center"/>
              <w:rPr>
                <w:rFonts w:ascii="Times New Roman" w:hAnsi="Times New Roman"/>
                <w:sz w:val="24"/>
                <w:szCs w:val="24"/>
              </w:rPr>
            </w:pPr>
            <w:proofErr w:type="spellStart"/>
            <w:r w:rsidRPr="007D6845">
              <w:rPr>
                <w:rFonts w:ascii="Times New Roman" w:hAnsi="Times New Roman"/>
                <w:sz w:val="24"/>
                <w:szCs w:val="24"/>
              </w:rPr>
              <w:t>Nr.p.k</w:t>
            </w:r>
            <w:proofErr w:type="spellEnd"/>
            <w:r w:rsidRPr="007D6845">
              <w:rPr>
                <w:rFonts w:ascii="Times New Roman" w:hAnsi="Times New Roman"/>
                <w:sz w:val="24"/>
                <w:szCs w:val="24"/>
              </w:rPr>
              <w:t>.</w:t>
            </w:r>
          </w:p>
        </w:tc>
        <w:tc>
          <w:tcPr>
            <w:tcW w:w="5027"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l</w:t>
            </w:r>
            <w:r w:rsidRPr="007D6845">
              <w:rPr>
                <w:rFonts w:ascii="Times New Roman" w:hAnsi="Times New Roman"/>
                <w:sz w:val="24"/>
                <w:szCs w:val="24"/>
              </w:rPr>
              <w:t xml:space="preserve">okalizācijas </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A63C11">
            <w:pPr>
              <w:spacing w:line="256" w:lineRule="auto"/>
              <w:contextualSpacing/>
              <w:jc w:val="center"/>
              <w:rPr>
                <w:rFonts w:ascii="Times New Roman" w:hAnsi="Times New Roman"/>
                <w:sz w:val="24"/>
                <w:szCs w:val="24"/>
              </w:rPr>
            </w:pPr>
            <w:r w:rsidRPr="007D6845">
              <w:rPr>
                <w:rFonts w:ascii="Times New Roman" w:hAnsi="Times New Roman"/>
                <w:sz w:val="24"/>
                <w:szCs w:val="24"/>
              </w:rPr>
              <w:t>p</w:t>
            </w:r>
            <w:r w:rsidRPr="007D6845">
              <w:rPr>
                <w:rFonts w:ascii="Times New Roman" w:hAnsi="Times New Roman"/>
                <w:sz w:val="24"/>
                <w:szCs w:val="24"/>
              </w:rPr>
              <w:t>ēdējā kalendārajā gadā veikto operāciju skaits vienam ārstam</w:t>
            </w:r>
            <w:r w:rsidRPr="007D6845">
              <w:rPr>
                <w:rFonts w:ascii="Times New Roman" w:hAnsi="Times New Roman"/>
                <w:sz w:val="24"/>
                <w:szCs w:val="24"/>
              </w:rPr>
              <w:t xml:space="preserve"> </w:t>
            </w:r>
            <w:r w:rsidRPr="001D254E">
              <w:rPr>
                <w:rFonts w:ascii="Times New Roman" w:hAnsi="Times New Roman"/>
                <w:sz w:val="24"/>
                <w:szCs w:val="24"/>
                <w:u w:val="single"/>
              </w:rPr>
              <w:t>vismaz</w:t>
            </w:r>
            <w:r w:rsidRPr="007D6845">
              <w:rPr>
                <w:rFonts w:ascii="Times New Roman" w:hAnsi="Times New Roman"/>
                <w:sz w:val="24"/>
                <w:szCs w:val="24"/>
              </w:rPr>
              <w:t>:</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contextualSpacing/>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.1.</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A - nervu sistēma</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19</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.2.</w:t>
            </w:r>
          </w:p>
        </w:tc>
        <w:tc>
          <w:tcPr>
            <w:tcW w:w="5027"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 xml:space="preserve">BA, BB – vairogdziedzeris un </w:t>
            </w:r>
            <w:proofErr w:type="spellStart"/>
            <w:r w:rsidRPr="007D6845">
              <w:rPr>
                <w:rFonts w:ascii="Times New Roman" w:hAnsi="Times New Roman"/>
                <w:sz w:val="24"/>
                <w:szCs w:val="24"/>
              </w:rPr>
              <w:t>epitēlijķermenīši</w:t>
            </w:r>
            <w:proofErr w:type="spellEnd"/>
          </w:p>
        </w:tc>
        <w:tc>
          <w:tcPr>
            <w:tcW w:w="2084" w:type="dxa"/>
            <w:tcBorders>
              <w:top w:val="single" w:sz="4" w:space="0" w:color="auto"/>
              <w:left w:val="single" w:sz="4" w:space="0" w:color="auto"/>
              <w:bottom w:val="single" w:sz="4" w:space="0" w:color="auto"/>
              <w:right w:val="single" w:sz="4" w:space="0" w:color="auto"/>
            </w:tcBorders>
            <w:vAlign w:val="center"/>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24</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.3.</w:t>
            </w:r>
          </w:p>
        </w:tc>
        <w:tc>
          <w:tcPr>
            <w:tcW w:w="5027"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BC – virsnieres</w:t>
            </w:r>
          </w:p>
        </w:tc>
        <w:tc>
          <w:tcPr>
            <w:tcW w:w="2084" w:type="dxa"/>
            <w:tcBorders>
              <w:top w:val="single" w:sz="4" w:space="0" w:color="auto"/>
              <w:left w:val="single" w:sz="4" w:space="0" w:color="auto"/>
              <w:bottom w:val="single" w:sz="4" w:space="0" w:color="auto"/>
              <w:right w:val="single" w:sz="4" w:space="0" w:color="auto"/>
            </w:tcBorders>
            <w:vAlign w:val="center"/>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2</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.4.</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D - auss, deguns un balsene</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13</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.5.</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E - zobi, žokļi, mute un rīkle</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31</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.6.</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G - krūškurvja siena, pleira, videne, diafragma, traheja, bronhi un plaušas</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28</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.7.</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H - krūts</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80</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bookmarkStart w:id="0" w:name="_Hlk486165500"/>
            <w:r>
              <w:rPr>
                <w:rFonts w:ascii="Times New Roman" w:hAnsi="Times New Roman"/>
                <w:sz w:val="24"/>
                <w:szCs w:val="24"/>
              </w:rPr>
              <w:t>3</w:t>
            </w:r>
            <w:r w:rsidRPr="007D6845">
              <w:rPr>
                <w:rFonts w:ascii="Times New Roman" w:hAnsi="Times New Roman"/>
                <w:sz w:val="24"/>
                <w:szCs w:val="24"/>
              </w:rPr>
              <w:t>.8.</w:t>
            </w:r>
          </w:p>
        </w:tc>
        <w:tc>
          <w:tcPr>
            <w:tcW w:w="5027"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 xml:space="preserve">JA, JE, JF, JG, JH, JX – vēdera siena, apzarnis, vēderplēve un lielā taukplēve, aklās zarnas </w:t>
            </w:r>
            <w:proofErr w:type="spellStart"/>
            <w:r w:rsidRPr="007D6845">
              <w:rPr>
                <w:rFonts w:ascii="Times New Roman" w:hAnsi="Times New Roman"/>
                <w:sz w:val="24"/>
                <w:szCs w:val="24"/>
              </w:rPr>
              <w:t>tārpveida</w:t>
            </w:r>
            <w:proofErr w:type="spellEnd"/>
            <w:r w:rsidRPr="007D6845">
              <w:rPr>
                <w:rFonts w:ascii="Times New Roman" w:hAnsi="Times New Roman"/>
                <w:sz w:val="24"/>
                <w:szCs w:val="24"/>
              </w:rPr>
              <w:t xml:space="preserve"> piedēklis (apendikss), zarnas, taisnā zarna, tūplis un </w:t>
            </w:r>
            <w:proofErr w:type="spellStart"/>
            <w:r w:rsidRPr="007D6845">
              <w:rPr>
                <w:rFonts w:ascii="Times New Roman" w:hAnsi="Times New Roman"/>
                <w:sz w:val="24"/>
                <w:szCs w:val="24"/>
              </w:rPr>
              <w:t>perianālie</w:t>
            </w:r>
            <w:proofErr w:type="spellEnd"/>
            <w:r w:rsidRPr="007D6845">
              <w:rPr>
                <w:rFonts w:ascii="Times New Roman" w:hAnsi="Times New Roman"/>
                <w:sz w:val="24"/>
                <w:szCs w:val="24"/>
              </w:rPr>
              <w:t xml:space="preserve"> audi, abdominālas operācijas kopā ar cita vai blakus esoša anatomiska apvidus operācijām</w:t>
            </w:r>
          </w:p>
        </w:tc>
        <w:tc>
          <w:tcPr>
            <w:tcW w:w="2084" w:type="dxa"/>
            <w:tcBorders>
              <w:top w:val="single" w:sz="4" w:space="0" w:color="auto"/>
              <w:left w:val="single" w:sz="4" w:space="0" w:color="auto"/>
              <w:bottom w:val="single" w:sz="4" w:space="0" w:color="auto"/>
              <w:right w:val="single" w:sz="4" w:space="0" w:color="auto"/>
            </w:tcBorders>
            <w:vAlign w:val="center"/>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24</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.9.</w:t>
            </w:r>
          </w:p>
        </w:tc>
        <w:tc>
          <w:tcPr>
            <w:tcW w:w="5027"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 xml:space="preserve">JB, JC, JD, JM – diafragma un </w:t>
            </w:r>
            <w:proofErr w:type="spellStart"/>
            <w:r w:rsidRPr="007D6845">
              <w:rPr>
                <w:rFonts w:ascii="Times New Roman" w:hAnsi="Times New Roman"/>
                <w:sz w:val="24"/>
                <w:szCs w:val="24"/>
              </w:rPr>
              <w:t>gastroezofageāls</w:t>
            </w:r>
            <w:proofErr w:type="spellEnd"/>
            <w:r w:rsidRPr="007D6845">
              <w:rPr>
                <w:rFonts w:ascii="Times New Roman" w:hAnsi="Times New Roman"/>
                <w:sz w:val="24"/>
                <w:szCs w:val="24"/>
              </w:rPr>
              <w:t xml:space="preserve"> </w:t>
            </w:r>
            <w:proofErr w:type="spellStart"/>
            <w:r w:rsidRPr="007D6845">
              <w:rPr>
                <w:rFonts w:ascii="Times New Roman" w:hAnsi="Times New Roman"/>
                <w:sz w:val="24"/>
                <w:szCs w:val="24"/>
              </w:rPr>
              <w:t>atvilnis</w:t>
            </w:r>
            <w:proofErr w:type="spellEnd"/>
            <w:r w:rsidRPr="007D6845">
              <w:rPr>
                <w:rFonts w:ascii="Times New Roman" w:hAnsi="Times New Roman"/>
                <w:sz w:val="24"/>
                <w:szCs w:val="24"/>
              </w:rPr>
              <w:t xml:space="preserve"> (</w:t>
            </w:r>
            <w:proofErr w:type="spellStart"/>
            <w:r w:rsidRPr="007D6845">
              <w:rPr>
                <w:rFonts w:ascii="Times New Roman" w:hAnsi="Times New Roman"/>
                <w:sz w:val="24"/>
                <w:szCs w:val="24"/>
              </w:rPr>
              <w:t>reflukss</w:t>
            </w:r>
            <w:proofErr w:type="spellEnd"/>
            <w:r w:rsidRPr="007D6845">
              <w:rPr>
                <w:rFonts w:ascii="Times New Roman" w:hAnsi="Times New Roman"/>
                <w:sz w:val="24"/>
                <w:szCs w:val="24"/>
              </w:rPr>
              <w:t xml:space="preserve">), barības vads, kuņģis un </w:t>
            </w:r>
            <w:proofErr w:type="spellStart"/>
            <w:r w:rsidRPr="007D6845">
              <w:rPr>
                <w:rFonts w:ascii="Times New Roman" w:hAnsi="Times New Roman"/>
                <w:sz w:val="24"/>
                <w:szCs w:val="24"/>
              </w:rPr>
              <w:t>divpadsmitpirkstu</w:t>
            </w:r>
            <w:proofErr w:type="spellEnd"/>
            <w:r w:rsidRPr="007D6845">
              <w:rPr>
                <w:rFonts w:ascii="Times New Roman" w:hAnsi="Times New Roman"/>
                <w:sz w:val="24"/>
                <w:szCs w:val="24"/>
              </w:rPr>
              <w:t xml:space="preserve"> zarna, liesa</w:t>
            </w:r>
          </w:p>
        </w:tc>
        <w:tc>
          <w:tcPr>
            <w:tcW w:w="2084" w:type="dxa"/>
            <w:tcBorders>
              <w:top w:val="single" w:sz="4" w:space="0" w:color="auto"/>
              <w:left w:val="single" w:sz="4" w:space="0" w:color="auto"/>
              <w:bottom w:val="single" w:sz="4" w:space="0" w:color="auto"/>
              <w:right w:val="single" w:sz="4" w:space="0" w:color="auto"/>
            </w:tcBorders>
            <w:vAlign w:val="center"/>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5</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.10.</w:t>
            </w:r>
          </w:p>
        </w:tc>
        <w:tc>
          <w:tcPr>
            <w:tcW w:w="5027" w:type="dxa"/>
            <w:tcBorders>
              <w:top w:val="single" w:sz="4" w:space="0" w:color="auto"/>
              <w:left w:val="single" w:sz="4" w:space="0" w:color="auto"/>
              <w:bottom w:val="single" w:sz="4" w:space="0" w:color="auto"/>
              <w:right w:val="single" w:sz="4" w:space="0" w:color="auto"/>
            </w:tcBorders>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 xml:space="preserve">JJ, JK un JL – aknas, </w:t>
            </w:r>
            <w:proofErr w:type="spellStart"/>
            <w:r w:rsidRPr="007D6845">
              <w:rPr>
                <w:rFonts w:ascii="Times New Roman" w:hAnsi="Times New Roman"/>
                <w:sz w:val="24"/>
                <w:szCs w:val="24"/>
              </w:rPr>
              <w:t>žultsceļi</w:t>
            </w:r>
            <w:proofErr w:type="spellEnd"/>
            <w:r w:rsidRPr="007D6845">
              <w:rPr>
                <w:rFonts w:ascii="Times New Roman" w:hAnsi="Times New Roman"/>
                <w:sz w:val="24"/>
                <w:szCs w:val="24"/>
              </w:rPr>
              <w:t xml:space="preserve"> un aizkuņģa dziedzeris</w:t>
            </w:r>
          </w:p>
        </w:tc>
        <w:tc>
          <w:tcPr>
            <w:tcW w:w="2084" w:type="dxa"/>
            <w:tcBorders>
              <w:top w:val="single" w:sz="4" w:space="0" w:color="auto"/>
              <w:left w:val="single" w:sz="4" w:space="0" w:color="auto"/>
              <w:bottom w:val="single" w:sz="4" w:space="0" w:color="auto"/>
              <w:right w:val="single" w:sz="4" w:space="0" w:color="auto"/>
            </w:tcBorders>
            <w:vAlign w:val="center"/>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20</w:t>
            </w:r>
          </w:p>
        </w:tc>
      </w:tr>
      <w:bookmarkEnd w:id="0"/>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.11.</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 xml:space="preserve">K - </w:t>
            </w:r>
            <w:proofErr w:type="spellStart"/>
            <w:r w:rsidRPr="007D6845">
              <w:rPr>
                <w:rFonts w:ascii="Times New Roman" w:hAnsi="Times New Roman"/>
                <w:sz w:val="24"/>
                <w:szCs w:val="24"/>
              </w:rPr>
              <w:t>urīnizvadsistēma</w:t>
            </w:r>
            <w:proofErr w:type="spellEnd"/>
            <w:r w:rsidRPr="007D6845">
              <w:rPr>
                <w:rFonts w:ascii="Times New Roman" w:hAnsi="Times New Roman"/>
                <w:sz w:val="24"/>
                <w:szCs w:val="24"/>
              </w:rPr>
              <w:t xml:space="preserve">, vīriešu dzimumorgāni un </w:t>
            </w:r>
            <w:proofErr w:type="spellStart"/>
            <w:r w:rsidRPr="007D6845">
              <w:rPr>
                <w:rFonts w:ascii="Times New Roman" w:hAnsi="Times New Roman"/>
                <w:sz w:val="24"/>
                <w:szCs w:val="24"/>
              </w:rPr>
              <w:t>retroperitoneālā</w:t>
            </w:r>
            <w:proofErr w:type="spellEnd"/>
            <w:r w:rsidRPr="007D6845">
              <w:rPr>
                <w:rFonts w:ascii="Times New Roman" w:hAnsi="Times New Roman"/>
                <w:sz w:val="24"/>
                <w:szCs w:val="24"/>
              </w:rPr>
              <w:t xml:space="preserve"> telpa</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57</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.12.</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L - sieviešu dzimumorgānu sistēma</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44</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.13.</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N - muskuļu un skeleta sistēma</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25</w:t>
            </w:r>
          </w:p>
        </w:tc>
      </w:tr>
      <w:tr w:rsidR="007D6845" w:rsidRPr="007D6845" w:rsidTr="007D6845">
        <w:tc>
          <w:tcPr>
            <w:tcW w:w="1236"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Pr>
                <w:rFonts w:ascii="Times New Roman" w:hAnsi="Times New Roman"/>
                <w:sz w:val="24"/>
                <w:szCs w:val="24"/>
              </w:rPr>
              <w:t>3</w:t>
            </w:r>
            <w:r w:rsidRPr="007D6845">
              <w:rPr>
                <w:rFonts w:ascii="Times New Roman" w:hAnsi="Times New Roman"/>
                <w:sz w:val="24"/>
                <w:szCs w:val="24"/>
              </w:rPr>
              <w:t>.14.</w:t>
            </w:r>
          </w:p>
        </w:tc>
        <w:tc>
          <w:tcPr>
            <w:tcW w:w="5027" w:type="dxa"/>
            <w:tcBorders>
              <w:top w:val="single" w:sz="4" w:space="0" w:color="auto"/>
              <w:left w:val="single" w:sz="4" w:space="0" w:color="auto"/>
              <w:bottom w:val="single" w:sz="4" w:space="0" w:color="auto"/>
              <w:right w:val="single" w:sz="4" w:space="0" w:color="auto"/>
            </w:tcBorders>
            <w:hideMark/>
          </w:tcPr>
          <w:p w:rsidR="007D6845" w:rsidRPr="007D6845" w:rsidRDefault="007D6845" w:rsidP="00A63C11">
            <w:pPr>
              <w:spacing w:line="256" w:lineRule="auto"/>
              <w:rPr>
                <w:rFonts w:ascii="Times New Roman" w:hAnsi="Times New Roman"/>
                <w:sz w:val="24"/>
                <w:szCs w:val="24"/>
              </w:rPr>
            </w:pPr>
            <w:r w:rsidRPr="007D6845">
              <w:rPr>
                <w:rFonts w:ascii="Times New Roman" w:hAnsi="Times New Roman"/>
                <w:sz w:val="24"/>
                <w:szCs w:val="24"/>
              </w:rPr>
              <w:t>Q - āda</w:t>
            </w:r>
          </w:p>
        </w:tc>
        <w:tc>
          <w:tcPr>
            <w:tcW w:w="2084" w:type="dxa"/>
            <w:tcBorders>
              <w:top w:val="single" w:sz="4" w:space="0" w:color="auto"/>
              <w:left w:val="single" w:sz="4" w:space="0" w:color="auto"/>
              <w:bottom w:val="single" w:sz="4" w:space="0" w:color="auto"/>
              <w:right w:val="single" w:sz="4" w:space="0" w:color="auto"/>
            </w:tcBorders>
            <w:vAlign w:val="center"/>
            <w:hideMark/>
          </w:tcPr>
          <w:p w:rsidR="007D6845" w:rsidRPr="007D6845" w:rsidRDefault="007D6845" w:rsidP="007D6845">
            <w:pPr>
              <w:spacing w:line="256" w:lineRule="auto"/>
              <w:contextualSpacing/>
              <w:jc w:val="center"/>
              <w:rPr>
                <w:rFonts w:ascii="Times New Roman" w:hAnsi="Times New Roman"/>
                <w:sz w:val="24"/>
                <w:szCs w:val="24"/>
              </w:rPr>
            </w:pPr>
            <w:r w:rsidRPr="007D6845">
              <w:rPr>
                <w:rFonts w:ascii="Times New Roman" w:hAnsi="Times New Roman"/>
                <w:sz w:val="24"/>
                <w:szCs w:val="24"/>
              </w:rPr>
              <w:t>15</w:t>
            </w:r>
          </w:p>
        </w:tc>
      </w:tr>
    </w:tbl>
    <w:p w:rsidR="007A487F" w:rsidRPr="007D6845" w:rsidRDefault="007A487F" w:rsidP="007D6845">
      <w:pPr>
        <w:ind w:left="284"/>
      </w:pPr>
    </w:p>
    <w:p w:rsidR="001D254E" w:rsidRPr="001D254E" w:rsidRDefault="007D6845" w:rsidP="001D254E">
      <w:pPr>
        <w:pStyle w:val="ListParagraph"/>
        <w:numPr>
          <w:ilvl w:val="0"/>
          <w:numId w:val="3"/>
        </w:numPr>
        <w:spacing w:after="160" w:line="259" w:lineRule="auto"/>
        <w:ind w:left="284" w:hanging="284"/>
        <w:jc w:val="both"/>
        <w:rPr>
          <w:b/>
        </w:rPr>
      </w:pPr>
      <w:r w:rsidRPr="007D6845">
        <w:rPr>
          <w:rFonts w:eastAsia="Calibri"/>
          <w:lang w:eastAsia="en-US"/>
        </w:rPr>
        <w:t>Ārstniecības iestād</w:t>
      </w:r>
      <w:r>
        <w:rPr>
          <w:rFonts w:eastAsia="Calibri"/>
          <w:lang w:eastAsia="en-US"/>
        </w:rPr>
        <w:t>e</w:t>
      </w:r>
      <w:r w:rsidRPr="007D6845">
        <w:rPr>
          <w:rFonts w:eastAsia="Calibri"/>
          <w:lang w:eastAsia="en-US"/>
        </w:rPr>
        <w:t xml:space="preserve"> </w:t>
      </w:r>
      <w:r w:rsidRPr="007001EC">
        <w:rPr>
          <w:rFonts w:eastAsia="Calibri"/>
        </w:rPr>
        <w:t xml:space="preserve">plānveidā un neatliekami </w:t>
      </w:r>
      <w:r>
        <w:rPr>
          <w:rFonts w:eastAsia="Calibri"/>
        </w:rPr>
        <w:t xml:space="preserve">veikto </w:t>
      </w:r>
      <w:r w:rsidRPr="007D6845">
        <w:rPr>
          <w:rFonts w:eastAsia="Calibri"/>
          <w:lang w:eastAsia="en-US"/>
        </w:rPr>
        <w:t>valsts apmaksāt</w:t>
      </w:r>
      <w:r w:rsidR="001D254E">
        <w:rPr>
          <w:rFonts w:eastAsia="Calibri"/>
          <w:lang w:eastAsia="en-US"/>
        </w:rPr>
        <w:t xml:space="preserve">o onkoloģisko operāciju apjoms </w:t>
      </w:r>
      <w:r w:rsidR="001D254E" w:rsidRPr="007001EC">
        <w:rPr>
          <w:rFonts w:eastAsia="Calibri"/>
        </w:rPr>
        <w:t>pacientiem ar C00-C97</w:t>
      </w:r>
      <w:r w:rsidR="001D254E">
        <w:rPr>
          <w:rFonts w:eastAsia="Calibri"/>
        </w:rPr>
        <w:t xml:space="preserve"> diagnozēm.</w:t>
      </w:r>
    </w:p>
    <w:tbl>
      <w:tblPr>
        <w:tblStyle w:val="Reatabula1"/>
        <w:tblW w:w="8063" w:type="dxa"/>
        <w:tblInd w:w="1004" w:type="dxa"/>
        <w:tblLook w:val="04A0" w:firstRow="1" w:lastRow="0" w:firstColumn="1" w:lastColumn="0" w:noHBand="0" w:noVBand="1"/>
      </w:tblPr>
      <w:tblGrid>
        <w:gridCol w:w="1066"/>
        <w:gridCol w:w="5163"/>
        <w:gridCol w:w="1834"/>
      </w:tblGrid>
      <w:tr w:rsidR="001D254E" w:rsidRPr="001D254E" w:rsidTr="00A63C11">
        <w:tc>
          <w:tcPr>
            <w:tcW w:w="1066" w:type="dxa"/>
            <w:tcBorders>
              <w:top w:val="single" w:sz="4" w:space="0" w:color="auto"/>
              <w:left w:val="single" w:sz="4" w:space="0" w:color="auto"/>
              <w:bottom w:val="single" w:sz="4" w:space="0" w:color="auto"/>
              <w:right w:val="single" w:sz="4" w:space="0" w:color="auto"/>
            </w:tcBorders>
            <w:vAlign w:val="center"/>
            <w:hideMark/>
          </w:tcPr>
          <w:p w:rsidR="001D254E" w:rsidRPr="001D254E" w:rsidRDefault="001D254E" w:rsidP="001D254E">
            <w:pPr>
              <w:spacing w:line="256" w:lineRule="auto"/>
              <w:contextualSpacing/>
              <w:jc w:val="center"/>
              <w:rPr>
                <w:rFonts w:ascii="Times New Roman" w:eastAsia="Calibri" w:hAnsi="Times New Roman"/>
                <w:sz w:val="24"/>
                <w:szCs w:val="24"/>
                <w:lang w:eastAsia="en-US"/>
              </w:rPr>
            </w:pPr>
            <w:r w:rsidRPr="001D254E">
              <w:rPr>
                <w:rFonts w:ascii="Times New Roman" w:eastAsia="Calibri" w:hAnsi="Times New Roman"/>
                <w:sz w:val="24"/>
                <w:szCs w:val="24"/>
                <w:lang w:eastAsia="en-US"/>
              </w:rPr>
              <w:t>Nr.</w:t>
            </w:r>
          </w:p>
          <w:p w:rsidR="001D254E" w:rsidRPr="001D254E" w:rsidRDefault="001D254E" w:rsidP="001D254E">
            <w:pPr>
              <w:spacing w:line="256" w:lineRule="auto"/>
              <w:contextualSpacing/>
              <w:jc w:val="center"/>
              <w:rPr>
                <w:rFonts w:ascii="Times New Roman" w:eastAsia="Calibri" w:hAnsi="Times New Roman"/>
                <w:sz w:val="24"/>
                <w:szCs w:val="24"/>
                <w:lang w:eastAsia="en-US"/>
              </w:rPr>
            </w:pPr>
            <w:r w:rsidRPr="001D254E">
              <w:rPr>
                <w:rFonts w:ascii="Times New Roman" w:eastAsia="Calibri" w:hAnsi="Times New Roman"/>
                <w:sz w:val="24"/>
                <w:szCs w:val="24"/>
                <w:lang w:eastAsia="en-US"/>
              </w:rPr>
              <w:t>p.k.</w:t>
            </w:r>
          </w:p>
        </w:tc>
        <w:tc>
          <w:tcPr>
            <w:tcW w:w="5163" w:type="dxa"/>
            <w:tcBorders>
              <w:top w:val="single" w:sz="4" w:space="0" w:color="auto"/>
              <w:left w:val="single" w:sz="4" w:space="0" w:color="auto"/>
              <w:bottom w:val="single" w:sz="4" w:space="0" w:color="auto"/>
              <w:right w:val="single" w:sz="4" w:space="0" w:color="auto"/>
            </w:tcBorders>
            <w:vAlign w:val="center"/>
            <w:hideMark/>
          </w:tcPr>
          <w:p w:rsidR="001D254E" w:rsidRPr="001D254E" w:rsidRDefault="001D254E" w:rsidP="001D254E">
            <w:pPr>
              <w:spacing w:line="256" w:lineRule="auto"/>
              <w:contextualSpacing/>
              <w:jc w:val="center"/>
              <w:rPr>
                <w:rFonts w:ascii="Times New Roman" w:eastAsia="Calibri" w:hAnsi="Times New Roman"/>
                <w:sz w:val="24"/>
                <w:szCs w:val="24"/>
                <w:lang w:eastAsia="en-US"/>
              </w:rPr>
            </w:pPr>
            <w:r>
              <w:rPr>
                <w:rFonts w:ascii="Times New Roman" w:eastAsia="Calibri" w:hAnsi="Times New Roman"/>
                <w:sz w:val="24"/>
                <w:szCs w:val="24"/>
                <w:lang w:eastAsia="en-US"/>
              </w:rPr>
              <w:t>l</w:t>
            </w:r>
            <w:r w:rsidRPr="001D254E">
              <w:rPr>
                <w:rFonts w:ascii="Times New Roman" w:eastAsia="Calibri" w:hAnsi="Times New Roman"/>
                <w:sz w:val="24"/>
                <w:szCs w:val="24"/>
                <w:lang w:eastAsia="en-US"/>
              </w:rPr>
              <w:t>okalizācijas</w:t>
            </w:r>
          </w:p>
        </w:tc>
        <w:tc>
          <w:tcPr>
            <w:tcW w:w="1834" w:type="dxa"/>
            <w:tcBorders>
              <w:top w:val="single" w:sz="4" w:space="0" w:color="auto"/>
              <w:left w:val="single" w:sz="4" w:space="0" w:color="auto"/>
              <w:bottom w:val="single" w:sz="4" w:space="0" w:color="auto"/>
              <w:right w:val="single" w:sz="4" w:space="0" w:color="auto"/>
            </w:tcBorders>
            <w:vAlign w:val="center"/>
            <w:hideMark/>
          </w:tcPr>
          <w:p w:rsidR="001D254E" w:rsidRPr="001D254E" w:rsidRDefault="001D254E" w:rsidP="001D254E">
            <w:pPr>
              <w:spacing w:line="256" w:lineRule="auto"/>
              <w:contextualSpacing/>
              <w:jc w:val="center"/>
              <w:rPr>
                <w:rFonts w:ascii="Times New Roman" w:eastAsia="Calibri" w:hAnsi="Times New Roman"/>
                <w:sz w:val="24"/>
                <w:szCs w:val="24"/>
                <w:lang w:eastAsia="en-US"/>
              </w:rPr>
            </w:pPr>
            <w:r>
              <w:rPr>
                <w:rFonts w:ascii="Times New Roman" w:eastAsia="Calibri" w:hAnsi="Times New Roman"/>
                <w:sz w:val="24"/>
                <w:szCs w:val="24"/>
                <w:lang w:eastAsia="en-US"/>
              </w:rPr>
              <w:t>p</w:t>
            </w:r>
            <w:r w:rsidRPr="001D254E">
              <w:rPr>
                <w:rFonts w:ascii="Times New Roman" w:eastAsia="Calibri" w:hAnsi="Times New Roman"/>
                <w:sz w:val="24"/>
                <w:szCs w:val="24"/>
                <w:lang w:eastAsia="en-US"/>
              </w:rPr>
              <w:t>ēdējā kalendārajā gadā veikto onkoloģisko operāciju skaits</w:t>
            </w:r>
            <w:r>
              <w:rPr>
                <w:rFonts w:ascii="Times New Roman" w:eastAsia="Calibri" w:hAnsi="Times New Roman"/>
                <w:sz w:val="24"/>
                <w:szCs w:val="24"/>
                <w:lang w:eastAsia="en-US"/>
              </w:rPr>
              <w:t xml:space="preserve"> iestādē</w:t>
            </w:r>
            <w:r w:rsidRPr="001D254E">
              <w:rPr>
                <w:rFonts w:ascii="Times New Roman" w:eastAsia="Calibri" w:hAnsi="Times New Roman"/>
                <w:sz w:val="24"/>
                <w:szCs w:val="24"/>
                <w:lang w:eastAsia="en-US"/>
              </w:rPr>
              <w:t xml:space="preserve"> </w:t>
            </w:r>
            <w:r w:rsidRPr="001D254E">
              <w:rPr>
                <w:rFonts w:ascii="Times New Roman" w:eastAsia="Calibri" w:hAnsi="Times New Roman"/>
                <w:sz w:val="24"/>
                <w:szCs w:val="24"/>
                <w:u w:val="single"/>
                <w:lang w:eastAsia="en-US"/>
              </w:rPr>
              <w:t>vismaz</w:t>
            </w:r>
            <w:r>
              <w:rPr>
                <w:rFonts w:ascii="Times New Roman" w:eastAsia="Calibri" w:hAnsi="Times New Roman"/>
                <w:sz w:val="24"/>
                <w:szCs w:val="24"/>
                <w:lang w:eastAsia="en-US"/>
              </w:rPr>
              <w:t>:</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.1.</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A - nervu sistēma</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.2.</w:t>
            </w:r>
          </w:p>
        </w:tc>
        <w:tc>
          <w:tcPr>
            <w:tcW w:w="5163"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 xml:space="preserve">BA, BB – vairogdziedzeris un </w:t>
            </w:r>
            <w:proofErr w:type="spellStart"/>
            <w:r w:rsidRPr="001D254E">
              <w:rPr>
                <w:rFonts w:ascii="Times New Roman" w:eastAsia="Calibri" w:hAnsi="Times New Roman"/>
                <w:sz w:val="24"/>
                <w:szCs w:val="24"/>
                <w:lang w:eastAsia="en-US"/>
              </w:rPr>
              <w:t>epitēlijķermenīši</w:t>
            </w:r>
            <w:proofErr w:type="spellEnd"/>
          </w:p>
        </w:tc>
        <w:tc>
          <w:tcPr>
            <w:tcW w:w="1834"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45</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.3.</w:t>
            </w:r>
          </w:p>
        </w:tc>
        <w:tc>
          <w:tcPr>
            <w:tcW w:w="5163"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BC – virsnieres</w:t>
            </w:r>
          </w:p>
        </w:tc>
        <w:tc>
          <w:tcPr>
            <w:tcW w:w="1834"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20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4</w:t>
            </w:r>
            <w:r w:rsidRPr="001D254E">
              <w:rPr>
                <w:rFonts w:ascii="Times New Roman" w:eastAsia="Calibri" w:hAnsi="Times New Roman"/>
                <w:sz w:val="24"/>
                <w:szCs w:val="24"/>
                <w:lang w:eastAsia="en-US"/>
              </w:rPr>
              <w:t>.4.</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D - auss, deguns un balsene</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.5.</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G - krūškurvja siena, pleira, videne, diafragma, traheja, bronhi un plaušas</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300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.6.</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H - krūts</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.7.</w:t>
            </w:r>
          </w:p>
        </w:tc>
        <w:tc>
          <w:tcPr>
            <w:tcW w:w="5163"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 xml:space="preserve">JA, JE, JF, JG, JH, JX – vēdera siena, apzarnis, vēderplēve un lielā taukplēve, aklās zarnas </w:t>
            </w:r>
            <w:proofErr w:type="spellStart"/>
            <w:r w:rsidRPr="001D254E">
              <w:rPr>
                <w:rFonts w:ascii="Times New Roman" w:eastAsia="Calibri" w:hAnsi="Times New Roman"/>
                <w:sz w:val="24"/>
                <w:szCs w:val="24"/>
                <w:lang w:eastAsia="en-US"/>
              </w:rPr>
              <w:t>tārpveida</w:t>
            </w:r>
            <w:proofErr w:type="spellEnd"/>
            <w:r w:rsidRPr="001D254E">
              <w:rPr>
                <w:rFonts w:ascii="Times New Roman" w:eastAsia="Calibri" w:hAnsi="Times New Roman"/>
                <w:sz w:val="24"/>
                <w:szCs w:val="24"/>
                <w:lang w:eastAsia="en-US"/>
              </w:rPr>
              <w:t xml:space="preserve"> piedēklis (apendikss), zarnas, taisnā zarna, tūplis un </w:t>
            </w:r>
            <w:proofErr w:type="spellStart"/>
            <w:r w:rsidRPr="001D254E">
              <w:rPr>
                <w:rFonts w:ascii="Times New Roman" w:eastAsia="Calibri" w:hAnsi="Times New Roman"/>
                <w:sz w:val="24"/>
                <w:szCs w:val="24"/>
                <w:lang w:eastAsia="en-US"/>
              </w:rPr>
              <w:t>perianālie</w:t>
            </w:r>
            <w:proofErr w:type="spellEnd"/>
            <w:r w:rsidRPr="001D254E">
              <w:rPr>
                <w:rFonts w:ascii="Times New Roman" w:eastAsia="Calibri" w:hAnsi="Times New Roman"/>
                <w:sz w:val="24"/>
                <w:szCs w:val="24"/>
                <w:lang w:eastAsia="en-US"/>
              </w:rPr>
              <w:t xml:space="preserve"> audi, abdominālas operācijas kopā ar cita vai blakus esoša anatomiska apvidus operācijām</w:t>
            </w:r>
          </w:p>
        </w:tc>
        <w:tc>
          <w:tcPr>
            <w:tcW w:w="1834"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90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.8.</w:t>
            </w:r>
          </w:p>
        </w:tc>
        <w:tc>
          <w:tcPr>
            <w:tcW w:w="5163"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 xml:space="preserve">JB, JC, JD, JM – diafragma un </w:t>
            </w:r>
            <w:proofErr w:type="spellStart"/>
            <w:r w:rsidRPr="001D254E">
              <w:rPr>
                <w:rFonts w:ascii="Times New Roman" w:eastAsia="Calibri" w:hAnsi="Times New Roman"/>
                <w:sz w:val="24"/>
                <w:szCs w:val="24"/>
                <w:lang w:eastAsia="en-US"/>
              </w:rPr>
              <w:t>gastroezofageāls</w:t>
            </w:r>
            <w:proofErr w:type="spellEnd"/>
            <w:r w:rsidRPr="001D254E">
              <w:rPr>
                <w:rFonts w:ascii="Times New Roman" w:eastAsia="Calibri" w:hAnsi="Times New Roman"/>
                <w:sz w:val="24"/>
                <w:szCs w:val="24"/>
                <w:lang w:eastAsia="en-US"/>
              </w:rPr>
              <w:t xml:space="preserve"> </w:t>
            </w:r>
            <w:proofErr w:type="spellStart"/>
            <w:r w:rsidRPr="001D254E">
              <w:rPr>
                <w:rFonts w:ascii="Times New Roman" w:eastAsia="Calibri" w:hAnsi="Times New Roman"/>
                <w:sz w:val="24"/>
                <w:szCs w:val="24"/>
                <w:lang w:eastAsia="en-US"/>
              </w:rPr>
              <w:t>atvilnis</w:t>
            </w:r>
            <w:proofErr w:type="spellEnd"/>
            <w:r w:rsidRPr="001D254E">
              <w:rPr>
                <w:rFonts w:ascii="Times New Roman" w:eastAsia="Calibri" w:hAnsi="Times New Roman"/>
                <w:sz w:val="24"/>
                <w:szCs w:val="24"/>
                <w:lang w:eastAsia="en-US"/>
              </w:rPr>
              <w:t xml:space="preserve"> (</w:t>
            </w:r>
            <w:proofErr w:type="spellStart"/>
            <w:r w:rsidRPr="001D254E">
              <w:rPr>
                <w:rFonts w:ascii="Times New Roman" w:eastAsia="Calibri" w:hAnsi="Times New Roman"/>
                <w:sz w:val="24"/>
                <w:szCs w:val="24"/>
                <w:lang w:eastAsia="en-US"/>
              </w:rPr>
              <w:t>reflukss</w:t>
            </w:r>
            <w:proofErr w:type="spellEnd"/>
            <w:r w:rsidRPr="001D254E">
              <w:rPr>
                <w:rFonts w:ascii="Times New Roman" w:eastAsia="Calibri" w:hAnsi="Times New Roman"/>
                <w:sz w:val="24"/>
                <w:szCs w:val="24"/>
                <w:lang w:eastAsia="en-US"/>
              </w:rPr>
              <w:t xml:space="preserve">), barības vads, kuņģis un </w:t>
            </w:r>
            <w:proofErr w:type="spellStart"/>
            <w:r w:rsidRPr="001D254E">
              <w:rPr>
                <w:rFonts w:ascii="Times New Roman" w:eastAsia="Calibri" w:hAnsi="Times New Roman"/>
                <w:sz w:val="24"/>
                <w:szCs w:val="24"/>
                <w:lang w:eastAsia="en-US"/>
              </w:rPr>
              <w:t>divpadsmitpirkstu</w:t>
            </w:r>
            <w:proofErr w:type="spellEnd"/>
            <w:r w:rsidRPr="001D254E">
              <w:rPr>
                <w:rFonts w:ascii="Times New Roman" w:eastAsia="Calibri" w:hAnsi="Times New Roman"/>
                <w:sz w:val="24"/>
                <w:szCs w:val="24"/>
                <w:lang w:eastAsia="en-US"/>
              </w:rPr>
              <w:t xml:space="preserve"> zarna, liesa</w:t>
            </w:r>
          </w:p>
        </w:tc>
        <w:tc>
          <w:tcPr>
            <w:tcW w:w="1834"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70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.9.</w:t>
            </w:r>
          </w:p>
        </w:tc>
        <w:tc>
          <w:tcPr>
            <w:tcW w:w="5163"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 xml:space="preserve">JJ, JK, JL – aknas, </w:t>
            </w:r>
            <w:proofErr w:type="spellStart"/>
            <w:r w:rsidRPr="001D254E">
              <w:rPr>
                <w:rFonts w:ascii="Times New Roman" w:eastAsia="Calibri" w:hAnsi="Times New Roman"/>
                <w:sz w:val="24"/>
                <w:szCs w:val="24"/>
                <w:lang w:eastAsia="en-US"/>
              </w:rPr>
              <w:t>žultsceļi</w:t>
            </w:r>
            <w:proofErr w:type="spellEnd"/>
            <w:r w:rsidRPr="001D254E">
              <w:rPr>
                <w:rFonts w:ascii="Times New Roman" w:eastAsia="Calibri" w:hAnsi="Times New Roman"/>
                <w:sz w:val="24"/>
                <w:szCs w:val="24"/>
                <w:lang w:eastAsia="en-US"/>
              </w:rPr>
              <w:t xml:space="preserve"> un aizkuņģa dziedzeris</w:t>
            </w:r>
          </w:p>
        </w:tc>
        <w:tc>
          <w:tcPr>
            <w:tcW w:w="1834"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.10.</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 xml:space="preserve">K - </w:t>
            </w:r>
            <w:proofErr w:type="spellStart"/>
            <w:r w:rsidRPr="001D254E">
              <w:rPr>
                <w:rFonts w:ascii="Times New Roman" w:eastAsia="Calibri" w:hAnsi="Times New Roman"/>
                <w:sz w:val="24"/>
                <w:szCs w:val="24"/>
                <w:lang w:eastAsia="en-US"/>
              </w:rPr>
              <w:t>urīnizvadsistēma</w:t>
            </w:r>
            <w:proofErr w:type="spellEnd"/>
            <w:r w:rsidRPr="001D254E">
              <w:rPr>
                <w:rFonts w:ascii="Times New Roman" w:eastAsia="Calibri" w:hAnsi="Times New Roman"/>
                <w:sz w:val="24"/>
                <w:szCs w:val="24"/>
                <w:lang w:eastAsia="en-US"/>
              </w:rPr>
              <w:t xml:space="preserve">, vīriešu dzimumorgāni un </w:t>
            </w:r>
            <w:proofErr w:type="spellStart"/>
            <w:r w:rsidRPr="001D254E">
              <w:rPr>
                <w:rFonts w:ascii="Times New Roman" w:eastAsia="Calibri" w:hAnsi="Times New Roman"/>
                <w:sz w:val="24"/>
                <w:szCs w:val="24"/>
                <w:lang w:eastAsia="en-US"/>
              </w:rPr>
              <w:t>retroperitoneālā</w:t>
            </w:r>
            <w:proofErr w:type="spellEnd"/>
            <w:r w:rsidRPr="001D254E">
              <w:rPr>
                <w:rFonts w:ascii="Times New Roman" w:eastAsia="Calibri" w:hAnsi="Times New Roman"/>
                <w:sz w:val="24"/>
                <w:szCs w:val="24"/>
                <w:lang w:eastAsia="en-US"/>
              </w:rPr>
              <w:t xml:space="preserve"> telpa</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70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.11.</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L -sieviešu dzimumorgānu sistēma</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.12.</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N - muskuļu un skeleta sistēma</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60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.13.</w:t>
            </w:r>
          </w:p>
        </w:tc>
        <w:tc>
          <w:tcPr>
            <w:tcW w:w="5163"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Q - āda</w:t>
            </w:r>
          </w:p>
        </w:tc>
        <w:tc>
          <w:tcPr>
            <w:tcW w:w="1834" w:type="dxa"/>
            <w:tcBorders>
              <w:top w:val="single" w:sz="4" w:space="0" w:color="auto"/>
              <w:left w:val="single" w:sz="4" w:space="0" w:color="auto"/>
              <w:bottom w:val="single" w:sz="4" w:space="0" w:color="auto"/>
              <w:right w:val="single" w:sz="4" w:space="0" w:color="auto"/>
            </w:tcBorders>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r w:rsidR="001D254E" w:rsidRPr="001D254E" w:rsidTr="00A63C11">
        <w:tc>
          <w:tcPr>
            <w:tcW w:w="1066"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Pr>
                <w:rFonts w:ascii="Times New Roman" w:eastAsia="Calibri" w:hAnsi="Times New Roman"/>
                <w:sz w:val="24"/>
                <w:szCs w:val="24"/>
                <w:lang w:eastAsia="en-US"/>
              </w:rPr>
              <w:t>4</w:t>
            </w:r>
            <w:r w:rsidRPr="001D254E">
              <w:rPr>
                <w:rFonts w:ascii="Times New Roman" w:eastAsia="Calibri" w:hAnsi="Times New Roman"/>
                <w:sz w:val="24"/>
                <w:szCs w:val="24"/>
                <w:lang w:eastAsia="en-US"/>
              </w:rPr>
              <w:t>.14.</w:t>
            </w:r>
          </w:p>
        </w:tc>
        <w:tc>
          <w:tcPr>
            <w:tcW w:w="5163"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rPr>
                <w:rFonts w:ascii="Times New Roman" w:eastAsia="Calibri" w:hAnsi="Times New Roman"/>
                <w:sz w:val="24"/>
                <w:szCs w:val="24"/>
                <w:lang w:eastAsia="en-US"/>
              </w:rPr>
            </w:pPr>
            <w:r w:rsidRPr="001D254E">
              <w:rPr>
                <w:rFonts w:ascii="Times New Roman" w:eastAsia="Calibri" w:hAnsi="Times New Roman"/>
                <w:sz w:val="24"/>
                <w:szCs w:val="24"/>
                <w:lang w:eastAsia="en-US"/>
              </w:rPr>
              <w:t>pārējās lokalizācijas (C - acs un tai piegulošās struktūras, E -  zobi, žokļi, mute un rīkle, P - perifēriskie asinsvadi un limfātiskā sistēma) kopā</w:t>
            </w:r>
          </w:p>
        </w:tc>
        <w:tc>
          <w:tcPr>
            <w:tcW w:w="1834" w:type="dxa"/>
            <w:tcBorders>
              <w:top w:val="single" w:sz="4" w:space="0" w:color="auto"/>
              <w:left w:val="single" w:sz="4" w:space="0" w:color="auto"/>
              <w:bottom w:val="single" w:sz="4" w:space="0" w:color="auto"/>
              <w:right w:val="single" w:sz="4" w:space="0" w:color="auto"/>
            </w:tcBorders>
            <w:hideMark/>
          </w:tcPr>
          <w:p w:rsidR="001D254E" w:rsidRPr="001D254E" w:rsidRDefault="001D254E" w:rsidP="001D254E">
            <w:pPr>
              <w:spacing w:line="256" w:lineRule="auto"/>
              <w:contextualSpacing/>
              <w:rPr>
                <w:rFonts w:ascii="Times New Roman" w:eastAsia="Calibri" w:hAnsi="Times New Roman"/>
                <w:sz w:val="24"/>
                <w:szCs w:val="24"/>
                <w:lang w:eastAsia="en-US"/>
              </w:rPr>
            </w:pPr>
            <w:r w:rsidRPr="001D254E">
              <w:rPr>
                <w:rFonts w:ascii="Times New Roman" w:eastAsia="Calibri" w:hAnsi="Times New Roman"/>
                <w:sz w:val="24"/>
                <w:szCs w:val="24"/>
                <w:lang w:eastAsia="en-US"/>
              </w:rPr>
              <w:t>100</w:t>
            </w:r>
          </w:p>
        </w:tc>
      </w:tr>
    </w:tbl>
    <w:p w:rsidR="007A487F" w:rsidRPr="001D254E" w:rsidRDefault="007D6845" w:rsidP="001D254E">
      <w:pPr>
        <w:spacing w:after="160" w:line="259" w:lineRule="auto"/>
        <w:jc w:val="both"/>
        <w:rPr>
          <w:b/>
        </w:rPr>
      </w:pPr>
      <w:r w:rsidRPr="001D254E">
        <w:rPr>
          <w:rFonts w:eastAsia="Calibri"/>
          <w:lang w:eastAsia="en-US"/>
        </w:rPr>
        <w:t xml:space="preserve"> </w:t>
      </w:r>
      <w:bookmarkStart w:id="1" w:name="_GoBack"/>
      <w:bookmarkEnd w:id="1"/>
    </w:p>
    <w:sectPr w:rsidR="007A487F" w:rsidRPr="001D254E" w:rsidSect="00993C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5669"/>
    <w:multiLevelType w:val="hybridMultilevel"/>
    <w:tmpl w:val="C82E08C6"/>
    <w:lvl w:ilvl="0" w:tplc="DD1AB2DA">
      <w:start w:val="3"/>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19354A9F"/>
    <w:multiLevelType w:val="hybridMultilevel"/>
    <w:tmpl w:val="D278D606"/>
    <w:lvl w:ilvl="0" w:tplc="3656F754">
      <w:start w:val="3"/>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64402558"/>
    <w:multiLevelType w:val="hybridMultilevel"/>
    <w:tmpl w:val="B0AA150A"/>
    <w:lvl w:ilvl="0" w:tplc="8F82098A">
      <w:start w:val="1"/>
      <w:numFmt w:val="decimal"/>
      <w:lvlText w:val="%1."/>
      <w:lvlJc w:val="left"/>
      <w:pPr>
        <w:ind w:left="644" w:hanging="360"/>
      </w:pPr>
      <w:rPr>
        <w:rFonts w:eastAsia="Times New Roman"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7F"/>
    <w:rsid w:val="00041609"/>
    <w:rsid w:val="000462C2"/>
    <w:rsid w:val="001D254E"/>
    <w:rsid w:val="00475302"/>
    <w:rsid w:val="007A487F"/>
    <w:rsid w:val="007B0B5C"/>
    <w:rsid w:val="007D6845"/>
    <w:rsid w:val="008F278A"/>
    <w:rsid w:val="00993C55"/>
    <w:rsid w:val="00F52D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61E1"/>
  <w15:chartTrackingRefBased/>
  <w15:docId w15:val="{01A210AF-16CA-4808-8467-49E2923D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87F"/>
    <w:rPr>
      <w:rFonts w:eastAsia="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A487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B5C"/>
    <w:pPr>
      <w:ind w:left="720"/>
      <w:contextualSpacing/>
    </w:pPr>
  </w:style>
  <w:style w:type="table" w:customStyle="1" w:styleId="Reatabula1">
    <w:name w:val="Režģa tabula1"/>
    <w:basedOn w:val="TableNormal"/>
    <w:next w:val="TableGrid"/>
    <w:uiPriority w:val="39"/>
    <w:rsid w:val="007D684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7168</Words>
  <Characters>4087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Vlada Pērkona</cp:lastModifiedBy>
  <cp:revision>2</cp:revision>
  <dcterms:created xsi:type="dcterms:W3CDTF">2018-01-25T14:26:00Z</dcterms:created>
  <dcterms:modified xsi:type="dcterms:W3CDTF">2018-02-27T12:21:00Z</dcterms:modified>
</cp:coreProperties>
</file>